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C1" w:rsidRDefault="001E31C1" w:rsidP="001E31C1">
      <w:pPr>
        <w:pStyle w:val="Heading1"/>
        <w:rPr>
          <w:color w:val="4F81BD" w:themeColor="accent1"/>
          <w:sz w:val="48"/>
          <w:szCs w:val="48"/>
        </w:rPr>
      </w:pPr>
      <w:r>
        <w:rPr>
          <w:color w:val="4F81BD" w:themeColor="accent1"/>
          <w:sz w:val="48"/>
          <w:szCs w:val="48"/>
        </w:rPr>
        <w:t xml:space="preserve">2015–2016 </w:t>
      </w:r>
    </w:p>
    <w:p w:rsidR="001E31C1" w:rsidRDefault="001E31C1" w:rsidP="001E31C1">
      <w:pPr>
        <w:pStyle w:val="Heading1"/>
        <w:jc w:val="center"/>
        <w:rPr>
          <w:sz w:val="88"/>
          <w:szCs w:val="88"/>
        </w:rPr>
      </w:pPr>
    </w:p>
    <w:p w:rsidR="001E31C1" w:rsidRDefault="001E31C1" w:rsidP="001E31C1">
      <w:pPr>
        <w:pStyle w:val="Heading1"/>
        <w:jc w:val="center"/>
        <w:rPr>
          <w:sz w:val="88"/>
          <w:szCs w:val="88"/>
        </w:rPr>
      </w:pPr>
      <w:r>
        <w:rPr>
          <w:noProof/>
          <w:sz w:val="88"/>
          <w:szCs w:val="88"/>
        </w:rPr>
        <w:drawing>
          <wp:inline distT="0" distB="0" distL="0" distR="0">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1E31C1" w:rsidRDefault="001E31C1" w:rsidP="001E31C1">
      <w:pPr>
        <w:pStyle w:val="Heading1"/>
        <w:jc w:val="center"/>
        <w:rPr>
          <w:color w:val="4F81BD" w:themeColor="accent1"/>
          <w:sz w:val="84"/>
          <w:szCs w:val="84"/>
        </w:rPr>
      </w:pPr>
    </w:p>
    <w:p w:rsidR="001E31C1" w:rsidRDefault="001E31C1" w:rsidP="001E31C1">
      <w:pPr>
        <w:pStyle w:val="Heading1"/>
        <w:jc w:val="center"/>
        <w:rPr>
          <w:color w:val="4F81BD" w:themeColor="accent1"/>
          <w:sz w:val="84"/>
          <w:szCs w:val="84"/>
        </w:rPr>
      </w:pPr>
      <w:r>
        <w:rPr>
          <w:color w:val="4F81BD" w:themeColor="accent1"/>
          <w:sz w:val="84"/>
          <w:szCs w:val="84"/>
        </w:rPr>
        <w:t>Business/NP</w:t>
      </w:r>
    </w:p>
    <w:p w:rsidR="001E31C1" w:rsidRDefault="009D5E44" w:rsidP="001E31C1">
      <w:pPr>
        <w:pStyle w:val="Heading1"/>
        <w:jc w:val="center"/>
        <w:rPr>
          <w:color w:val="4F81BD" w:themeColor="accent1"/>
          <w:sz w:val="84"/>
          <w:szCs w:val="84"/>
        </w:rPr>
      </w:pPr>
      <w:r>
        <w:rPr>
          <w:color w:val="4F81BD" w:themeColor="accent1"/>
          <w:sz w:val="84"/>
          <w:szCs w:val="84"/>
        </w:rPr>
        <w:t>Beginner</w:t>
      </w:r>
      <w:r w:rsidR="001E31C1">
        <w:rPr>
          <w:color w:val="4F81BD" w:themeColor="accent1"/>
          <w:sz w:val="84"/>
          <w:szCs w:val="84"/>
        </w:rPr>
        <w:t xml:space="preserve"> Level Criteria</w:t>
      </w:r>
      <w:r w:rsidR="001E31C1">
        <w:rPr>
          <w:color w:val="4F81BD" w:themeColor="accent1"/>
          <w:sz w:val="84"/>
          <w:szCs w:val="84"/>
        </w:rPr>
        <w:br/>
        <w:t xml:space="preserve">for </w:t>
      </w:r>
      <w:r w:rsidR="001E31C1">
        <w:rPr>
          <w:color w:val="4F81BD" w:themeColor="accent1"/>
          <w:sz w:val="84"/>
          <w:szCs w:val="84"/>
        </w:rPr>
        <w:br/>
        <w:t>Performance Excellence</w:t>
      </w:r>
    </w:p>
    <w:p w:rsidR="001E31C1" w:rsidRDefault="001E31C1" w:rsidP="001E31C1">
      <w:pPr>
        <w:pStyle w:val="Heading1"/>
        <w:jc w:val="center"/>
        <w:rPr>
          <w:color w:val="4F81BD" w:themeColor="accent1"/>
          <w:sz w:val="36"/>
          <w:szCs w:val="36"/>
        </w:rPr>
      </w:pPr>
      <w:r>
        <w:rPr>
          <w:color w:val="4F81BD" w:themeColor="accent1"/>
          <w:sz w:val="36"/>
          <w:szCs w:val="36"/>
        </w:rPr>
        <w:lastRenderedPageBreak/>
        <w:t>Effective July 2015</w:t>
      </w:r>
    </w:p>
    <w:p w:rsidR="001E31C1" w:rsidRDefault="001E31C1" w:rsidP="001E31C1">
      <w:pPr>
        <w:pStyle w:val="Heading1"/>
        <w:rPr>
          <w:color w:val="63B18C"/>
          <w:sz w:val="22"/>
          <w:szCs w:val="22"/>
        </w:rPr>
      </w:pPr>
    </w:p>
    <w:p w:rsidR="001E31C1" w:rsidRDefault="001E31C1"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Note from the CEO:</w:t>
      </w:r>
    </w:p>
    <w:p w:rsidR="001E31C1" w:rsidRDefault="001E31C1" w:rsidP="001E31C1">
      <w:pPr>
        <w:rPr>
          <w:rFonts w:ascii="Times New Roman" w:hAnsi="Times New Roman" w:cs="Times New Roman"/>
        </w:rPr>
      </w:pPr>
      <w:r>
        <w:tab/>
      </w:r>
      <w:r>
        <w:rPr>
          <w:rFonts w:ascii="Times New Roman" w:hAnsi="Times New Roman" w:cs="Times New Roman"/>
        </w:rPr>
        <w:t xml:space="preserve">Thank you for taking the time to consider applying for the Quality Texas Foundation </w:t>
      </w:r>
      <w:r w:rsidR="009D5E44">
        <w:rPr>
          <w:rFonts w:ascii="Times New Roman" w:hAnsi="Times New Roman" w:cs="Times New Roman"/>
        </w:rPr>
        <w:t>Beginner</w:t>
      </w:r>
      <w:r>
        <w:rPr>
          <w:rFonts w:ascii="Times New Roman" w:hAnsi="Times New Roman" w:cs="Times New Roman"/>
        </w:rPr>
        <w:t xml:space="preserve"> Level of Recognition (five page Organizational Profile). </w:t>
      </w:r>
      <w:r w:rsidR="009D5E44">
        <w:rPr>
          <w:rFonts w:ascii="Times New Roman" w:hAnsi="Times New Roman" w:cs="Times New Roman"/>
        </w:rPr>
        <w:t xml:space="preserve">This is the starting point for your organization or a section/group within an organization. Your next step is our Engagement Level of Recognition (five page Organizational Profile + 10 page application). </w:t>
      </w:r>
      <w:r>
        <w:rPr>
          <w:rFonts w:ascii="Times New Roman" w:hAnsi="Times New Roman" w:cs="Times New Roman"/>
        </w:rPr>
        <w:t xml:space="preserve">Your organization may have started at our Engagement Level and/or our Commitment Level. </w:t>
      </w:r>
      <w:r w:rsidR="009D5E44">
        <w:rPr>
          <w:rFonts w:ascii="Times New Roman" w:hAnsi="Times New Roman" w:cs="Times New Roman"/>
        </w:rPr>
        <w:t xml:space="preserve">Since this is probably your first </w:t>
      </w:r>
      <w:r>
        <w:rPr>
          <w:rFonts w:ascii="Times New Roman" w:hAnsi="Times New Roman" w:cs="Times New Roman"/>
        </w:rPr>
        <w:t>entry with Quality Texas Foundation, welcome aboard.</w:t>
      </w:r>
    </w:p>
    <w:p w:rsidR="001E31C1" w:rsidRDefault="001E31C1" w:rsidP="001E31C1">
      <w:pPr>
        <w:rPr>
          <w:rFonts w:ascii="Times New Roman" w:hAnsi="Times New Roman" w:cs="Times New Roman"/>
        </w:rPr>
      </w:pPr>
      <w:r>
        <w:rPr>
          <w:rFonts w:ascii="Times New Roman" w:hAnsi="Times New Roman" w:cs="Times New Roman"/>
        </w:rPr>
        <w:tab/>
        <w:t xml:space="preserve"> It is our sincere hope that the questions embedded in the five page organizational profile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 xml:space="preserve">1) Assign a minimum of </w:t>
      </w:r>
      <w:r w:rsidR="009D5E44">
        <w:rPr>
          <w:rFonts w:ascii="Times New Roman" w:hAnsi="Times New Roman" w:cs="Times New Roman"/>
        </w:rPr>
        <w:t>two</w:t>
      </w:r>
      <w:r>
        <w:rPr>
          <w:rFonts w:ascii="Times New Roman" w:hAnsi="Times New Roman" w:cs="Times New Roman"/>
        </w:rPr>
        <w:t xml:space="preserve">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3) Revise multiple times and submit.</w:t>
      </w:r>
    </w:p>
    <w:p w:rsidR="001E31C1" w:rsidRDefault="001E31C1" w:rsidP="001E31C1">
      <w:pPr>
        <w:rPr>
          <w:rFonts w:ascii="Times New Roman" w:hAnsi="Times New Roman" w:cs="Times New Roman"/>
        </w:rPr>
      </w:pPr>
    </w:p>
    <w:p w:rsidR="001E31C1" w:rsidRDefault="001E31C1" w:rsidP="009D5E44">
      <w:pPr>
        <w:rPr>
          <w:rFonts w:ascii="Times New Roman" w:hAnsi="Times New Roman" w:cs="Times New Roman"/>
        </w:rPr>
      </w:pPr>
      <w:r>
        <w:rPr>
          <w:rFonts w:ascii="Times New Roman" w:hAnsi="Times New Roman" w:cs="Times New Roman"/>
        </w:rPr>
        <w:tab/>
        <w:t>If we here at the Quality Texas Foundation can be of assistance to you, please allow us that opportunity. We offer coaching and training to help maximize your positive experience.  Remember always that the Baldrige Journey is never finished! Happy travels!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Pr>
            <w:rStyle w:val="Hyperlink"/>
            <w:rFonts w:eastAsiaTheme="majorEastAsia"/>
          </w:rPr>
          <w:t>drmac@quality-texas.org</w:t>
        </w:r>
      </w:hyperlink>
    </w:p>
    <w:p w:rsidR="001E31C1" w:rsidRDefault="001E31C1" w:rsidP="001E31C1">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Pr>
            <w:rStyle w:val="Hyperlink"/>
            <w:rFonts w:eastAsiaTheme="majorEastAsia"/>
          </w:rPr>
          <w:t>www.quality-texas.org</w:t>
        </w:r>
      </w:hyperlink>
      <w:r>
        <w:rPr>
          <w:rFonts w:ascii="Times New Roman" w:hAnsi="Times New Roman" w:cs="Times New Roman"/>
        </w:rPr>
        <w:tab/>
      </w:r>
      <w:r>
        <w:rPr>
          <w:rFonts w:ascii="Calibri" w:hAnsi="Calibri" w:cs="Optima-Bold"/>
          <w:color w:val="365F91"/>
          <w:sz w:val="32"/>
          <w:szCs w:val="26"/>
        </w:rPr>
        <w:br w:type="page"/>
      </w:r>
    </w:p>
    <w:p w:rsidR="001E31C1" w:rsidRDefault="009D5E44"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T</w:t>
      </w:r>
      <w:r w:rsidR="001E31C1">
        <w:rPr>
          <w:rFonts w:ascii="Calibri" w:eastAsia="Times New Roman" w:hAnsi="Calibri" w:cs="Optima-Bold"/>
          <w:color w:val="365F91"/>
          <w:sz w:val="32"/>
          <w:szCs w:val="26"/>
        </w:rPr>
        <w:t>he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1E31C1" w:rsidRDefault="001E31C1" w:rsidP="001E31C1">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1E31C1"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1E31C1"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 What is the relative importance of each to your success? What mechanisms do you use to deliver your products?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Vision</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Mission</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purpose,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w:t>
      </w:r>
      <w:r w:rsidR="00F25876">
        <w:rPr>
          <w:rFonts w:ascii="Calibri" w:eastAsia="Calibri" w:hAnsi="Calibri" w:cs="Times New Roman"/>
          <w:color w:val="auto"/>
          <w:sz w:val="22"/>
          <w:szCs w:val="22"/>
        </w:rPr>
        <w:t xml:space="preserve"> </w:t>
      </w:r>
      <w:r w:rsidR="00F25876" w:rsidRPr="00F25876">
        <w:rPr>
          <w:rFonts w:ascii="Calibri" w:eastAsia="Calibri" w:hAnsi="Calibri" w:cs="Times New Roman"/>
          <w:color w:val="auto"/>
          <w:sz w:val="22"/>
          <w:szCs w:val="22"/>
        </w:rPr>
        <w:t>W</w:t>
      </w:r>
      <w:r w:rsidRPr="00F25876">
        <w:rPr>
          <w:rFonts w:ascii="Calibri" w:eastAsia="Calibri" w:hAnsi="Calibri" w:cs="Times New Roman"/>
          <w:color w:val="auto"/>
          <w:sz w:val="22"/>
          <w:szCs w:val="22"/>
        </w:rPr>
        <w:t xml:space="preserve">hat recent changes have you experienced in WORKFORCE composition or your WORKFORCE needs? </w:t>
      </w:r>
      <w:r>
        <w:rPr>
          <w:rFonts w:ascii="Calibri" w:eastAsia="Calibri" w:hAnsi="Calibri" w:cs="Times New Roman"/>
          <w:color w:val="auto"/>
          <w:sz w:val="22"/>
          <w:szCs w:val="22"/>
        </w:rPr>
        <w:t>What are:</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elements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1E31C1" w:rsidRDefault="001E31C1" w:rsidP="001E31C1">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What is the regulatory environment under which you operate? What are the applicable occupational health and safety regulations; accreditation, certification, or registration requirements; industry standards; and environmental, financial, and product regulations?</w:t>
      </w: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lastRenderedPageBreak/>
        <w:t>b.</w:t>
      </w:r>
      <w:r>
        <w:rPr>
          <w:rFonts w:ascii="Calibri" w:eastAsia="Calibri" w:hAnsi="Calibri" w:cs="Times New Roman"/>
          <w:b/>
          <w:color w:val="1F497D"/>
          <w:sz w:val="22"/>
          <w:szCs w:val="22"/>
        </w:rPr>
        <w:tab/>
        <w:t>Organizational Relationships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What role do they play in your </w:t>
      </w:r>
      <w:r>
        <w:rPr>
          <w:rFonts w:ascii="Calibri" w:eastAsia="Calibri" w:hAnsi="Calibri" w:cs="Palatino-Light"/>
          <w:smallCaps/>
          <w:color w:val="auto"/>
          <w:sz w:val="22"/>
          <w:szCs w:val="22"/>
        </w:rPr>
        <w:t>work systems</w:t>
      </w:r>
      <w:r>
        <w:rPr>
          <w:rFonts w:ascii="Calibri" w:eastAsia="Calibri" w:hAnsi="Calibri" w:cs="Times New Roman"/>
          <w:color w:val="auto"/>
          <w:sz w:val="22"/>
          <w:szCs w:val="22"/>
        </w:rPr>
        <w:t xml:space="preserve">, especially in producing and delivering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products and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What role do they play in enhancing your competitiveness? 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mechanisms for communicating with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What role, if any, do these organizations play in contributing and implementing </w:t>
      </w:r>
      <w:r>
        <w:rPr>
          <w:rFonts w:ascii="Calibri" w:eastAsia="Calibri" w:hAnsi="Calibri" w:cs="Palatino-Light"/>
          <w:smallCaps/>
          <w:color w:val="auto"/>
          <w:sz w:val="22"/>
          <w:szCs w:val="22"/>
        </w:rPr>
        <w:t>innovations</w:t>
      </w:r>
      <w:r>
        <w:rPr>
          <w:rFonts w:ascii="Calibri" w:eastAsia="Calibri" w:hAnsi="Calibri" w:cs="Times New Roman"/>
          <w:color w:val="auto"/>
          <w:sz w:val="22"/>
          <w:szCs w:val="22"/>
        </w:rPr>
        <w:t xml:space="preserve"> in your organization? 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supply-chain requirements?</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Default="001E31C1" w:rsidP="001E31C1">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1E31C1" w:rsidRDefault="001E31C1" w:rsidP="001E31C1">
      <w:pPr>
        <w:widowControl/>
        <w:autoSpaceDE/>
        <w:adjustRightInd/>
        <w:spacing w:after="120" w:line="240" w:lineRule="auto"/>
        <w:rPr>
          <w:rFonts w:ascii="Calibri" w:eastAsia="Calibri" w:hAnsi="Calibri" w:cs="Palatino-Italic"/>
          <w:i/>
          <w:iCs/>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“Product offerings” and “products” are the goods and services you offer in the marketplace. Mechanisms for delivering products to your end-use customers might be direct or might be indirect, through dealers, distributors, collaborators, or channel partners. </w:t>
      </w:r>
      <w:r>
        <w:rPr>
          <w:rFonts w:ascii="Calibri" w:eastAsia="Calibri" w:hAnsi="Calibri" w:cs="Palatino-Italic"/>
          <w:i/>
          <w:iCs/>
          <w:color w:val="auto"/>
          <w:sz w:val="22"/>
          <w:szCs w:val="22"/>
        </w:rPr>
        <w:t>Nonprofit organizations might refer to their product offerings as programs, projects, or services.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1E31C1" w:rsidRDefault="001E31C1" w:rsidP="001E31C1">
      <w:pPr>
        <w:widowControl/>
        <w:autoSpaceDE/>
        <w:adjustRightInd/>
        <w:spacing w:after="120" w:line="240" w:lineRule="auto"/>
        <w:rPr>
          <w:rFonts w:ascii="Calibri" w:eastAsia="Calibri" w:hAnsi="Calibri" w:cs="Times New Roman"/>
          <w:b/>
          <w:color w:val="31849B" w:themeColor="accent5" w:themeShade="BF"/>
          <w:sz w:val="22"/>
          <w:szCs w:val="22"/>
        </w:rPr>
      </w:pPr>
      <w:r>
        <w:rPr>
          <w:rFonts w:ascii="Calibri" w:eastAsia="Calibri" w:hAnsi="Calibri" w:cs="Optima-Bold"/>
          <w:b/>
          <w:bCs/>
          <w:color w:val="365F91"/>
          <w:sz w:val="22"/>
          <w:szCs w:val="20"/>
        </w:rPr>
        <w:t xml:space="preserve">P.1a(2). </w:t>
      </w:r>
      <w:r w:rsidRPr="00C44328">
        <w:rPr>
          <w:rFonts w:ascii="Calibri" w:eastAsia="Calibri" w:hAnsi="Calibri" w:cs="Optima-Bold"/>
          <w:bCs/>
          <w:color w:val="auto"/>
          <w:sz w:val="22"/>
          <w:szCs w:val="20"/>
        </w:rPr>
        <w:t xml:space="preserve">(NEW) </w:t>
      </w:r>
      <w:r w:rsidRPr="00C44328">
        <w:rPr>
          <w:rFonts w:ascii="Calibri" w:eastAsia="Calibri" w:hAnsi="Calibri" w:cs="Times New Roman"/>
          <w:color w:val="auto"/>
          <w:sz w:val="22"/>
          <w:szCs w:val="20"/>
        </w:rPr>
        <w:t>Core competencies are one example of concepts that are woven throughout the Criteria to ensure a systems approach to organizational performance management. Other such concepts include innovation, use of data and information to review performance and create knowledge, and change readiness and management.</w:t>
      </w:r>
      <w:r w:rsidRPr="00C44328">
        <w:rPr>
          <w:rFonts w:ascii="Calibri" w:eastAsia="Calibri" w:hAnsi="Calibri" w:cs="Times New Roman"/>
          <w:b/>
          <w:color w:val="auto"/>
          <w:sz w:val="22"/>
          <w:szCs w:val="20"/>
        </w:rPr>
        <w:t xml:space="preserve"> </w:t>
      </w:r>
    </w:p>
    <w:p w:rsidR="001E31C1" w:rsidRPr="00C44328"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w:t>
      </w:r>
      <w:r w:rsidRPr="00C44328">
        <w:rPr>
          <w:rFonts w:ascii="Calibri" w:eastAsia="Calibri" w:hAnsi="Calibri" w:cs="Times New Roman"/>
          <w:color w:val="auto"/>
          <w:sz w:val="22"/>
          <w:szCs w:val="20"/>
        </w:rPr>
        <w:t>(including telework), tour of duty, work environment, use of certain family-friendly policies, or other factors.</w:t>
      </w:r>
    </w:p>
    <w:p w:rsidR="001E31C1" w:rsidRPr="00C44328" w:rsidRDefault="001E31C1" w:rsidP="001E31C1">
      <w:pPr>
        <w:widowControl/>
        <w:autoSpaceDE/>
        <w:adjustRightInd/>
        <w:spacing w:after="120" w:line="240" w:lineRule="auto"/>
        <w:rPr>
          <w:rFonts w:ascii="Calibri" w:eastAsia="Calibri" w:hAnsi="Calibri" w:cs="Times New Roman"/>
          <w:color w:val="auto"/>
          <w:sz w:val="22"/>
          <w:szCs w:val="22"/>
        </w:rPr>
      </w:pPr>
      <w:r w:rsidRPr="00C44328">
        <w:rPr>
          <w:rFonts w:ascii="Calibri" w:eastAsia="Calibri" w:hAnsi="Calibri" w:cs="Optima-Bold"/>
          <w:b/>
          <w:bCs/>
          <w:color w:val="auto"/>
          <w:sz w:val="22"/>
          <w:szCs w:val="20"/>
        </w:rPr>
        <w:t>P.1a(3).</w:t>
      </w:r>
      <w:r w:rsidRPr="00C44328">
        <w:rPr>
          <w:rFonts w:ascii="Calibri" w:eastAsia="Calibri" w:hAnsi="Calibri" w:cs="Times New Roman"/>
          <w:color w:val="auto"/>
          <w:sz w:val="22"/>
          <w:szCs w:val="20"/>
        </w:rPr>
        <w:t xml:space="preserve"> Organizations that also rely on volunteers </w:t>
      </w:r>
      <w:r w:rsidRPr="00C44328">
        <w:rPr>
          <w:rFonts w:ascii="Calibri" w:eastAsia="Calibri" w:hAnsi="Calibri" w:cs="Times New Roman"/>
          <w:b/>
          <w:color w:val="auto"/>
          <w:sz w:val="22"/>
          <w:szCs w:val="20"/>
        </w:rPr>
        <w:t>and unpaid interns</w:t>
      </w:r>
      <w:r w:rsidRPr="00C44328">
        <w:rPr>
          <w:rFonts w:ascii="Calibri" w:eastAsia="Calibri" w:hAnsi="Calibri" w:cs="Times New Roman"/>
          <w:color w:val="auto"/>
          <w:sz w:val="22"/>
          <w:szCs w:val="20"/>
        </w:rPr>
        <w:t xml:space="preserve"> to accomplish their work should include </w:t>
      </w:r>
      <w:r w:rsidRPr="00C44328">
        <w:rPr>
          <w:rFonts w:ascii="Calibri" w:eastAsia="Calibri" w:hAnsi="Calibri" w:cs="Times New Roman"/>
          <w:b/>
          <w:color w:val="auto"/>
          <w:sz w:val="22"/>
          <w:szCs w:val="20"/>
        </w:rPr>
        <w:t>these groups</w:t>
      </w:r>
      <w:r w:rsidRPr="00C44328">
        <w:rPr>
          <w:rFonts w:ascii="Calibri" w:eastAsia="Calibri" w:hAnsi="Calibri" w:cs="Times New Roman"/>
          <w:color w:val="auto"/>
          <w:sz w:val="22"/>
          <w:szCs w:val="20"/>
        </w:rPr>
        <w:t xml:space="preserve"> as part of their workforce.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lastRenderedPageBreak/>
        <w:t>P.1a(5).</w:t>
      </w:r>
      <w:r>
        <w:rPr>
          <w:rFonts w:ascii="Calibri" w:eastAsia="Calibri" w:hAnsi="Calibri" w:cs="Times New Roman"/>
          <w:color w:val="auto"/>
          <w:sz w:val="22"/>
          <w:szCs w:val="20"/>
        </w:rPr>
        <w:t xml:space="preserve"> Industry standards might include industry-wide codes of conduct and policy guidance.</w:t>
      </w:r>
      <w:r>
        <w:rPr>
          <w:rFonts w:ascii="Calibri" w:eastAsia="Calibri" w:hAnsi="Calibri" w:cs="Palatino-Italic"/>
          <w:i/>
          <w:iCs/>
          <w:color w:val="auto"/>
          <w:sz w:val="22"/>
          <w:szCs w:val="20"/>
        </w:rPr>
        <w:t xml:space="preserve"> In the Criteria, “industry” refers to the sector in which you operate. For nonprofit organizations, this sector might be charitable organizations, professional associations and societies, religious organizations, or government entities—or a subsector of one of these.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P.1b(1).</w:t>
      </w:r>
      <w:r>
        <w:rPr>
          <w:rFonts w:ascii="Calibri" w:eastAsia="Calibri" w:hAnsi="Calibri" w:cs="Times New Roman"/>
          <w:color w:val="auto"/>
          <w:sz w:val="22"/>
          <w:szCs w:val="20"/>
        </w:rPr>
        <w:t xml:space="preserve"> </w:t>
      </w:r>
      <w:r>
        <w:rPr>
          <w:rFonts w:ascii="Calibri" w:eastAsia="Calibri" w:hAnsi="Calibri" w:cs="Palatino-Italic"/>
          <w:i/>
          <w:iCs/>
          <w:color w:val="auto"/>
          <w:sz w:val="22"/>
          <w:szCs w:val="20"/>
        </w:rPr>
        <w:t xml:space="preserve">For some nonprofit organizations, governance and reporting relationships might include relationships with major funding sources, such as granting agencies or foundations.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products. </w:t>
      </w:r>
      <w:r>
        <w:rPr>
          <w:rFonts w:ascii="Calibri" w:eastAsia="Calibri" w:hAnsi="Calibri" w:cs="Palatino-Italic"/>
          <w:i/>
          <w:iCs/>
          <w:color w:val="auto"/>
          <w:sz w:val="22"/>
          <w:szCs w:val="20"/>
        </w:rPr>
        <w:t>For some nonprofit organizations, customers might include members, taxpayers, citizens, recipients, clients, and beneficiaries, and market segments might be referred to as constituencies.</w:t>
      </w:r>
    </w:p>
    <w:p w:rsidR="001E31C1" w:rsidRPr="00C44328"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Customer groups might be based on common expectations, behaviors, preferences, or profiles. Within a group, there may be customer segments based on differences and commonalities, </w:t>
      </w:r>
      <w:r w:rsidRPr="00C44328">
        <w:rPr>
          <w:rFonts w:ascii="Calibri" w:eastAsia="Calibri" w:hAnsi="Calibri" w:cs="Times New Roman"/>
          <w:b/>
          <w:color w:val="auto"/>
          <w:sz w:val="22"/>
          <w:szCs w:val="20"/>
        </w:rPr>
        <w:t>or both</w:t>
      </w:r>
      <w:r w:rsidRPr="00C44328">
        <w:rPr>
          <w:rFonts w:ascii="Calibri" w:eastAsia="Calibri" w:hAnsi="Calibri" w:cs="Times New Roman"/>
          <w:color w:val="auto"/>
          <w:sz w:val="22"/>
          <w:szCs w:val="20"/>
        </w:rPr>
        <w:t>. You might subdivide your market into market segments based on product lines or features, distribution channels, business volume, geography, or other factors that you use to define a market segment.</w:t>
      </w:r>
    </w:p>
    <w:p w:rsidR="001E31C1" w:rsidRPr="00C44328" w:rsidRDefault="001E31C1" w:rsidP="001E31C1">
      <w:pPr>
        <w:widowControl/>
        <w:autoSpaceDE/>
        <w:adjustRightInd/>
        <w:spacing w:after="120" w:line="240" w:lineRule="auto"/>
        <w:rPr>
          <w:rFonts w:ascii="Calibri" w:eastAsia="Calibri" w:hAnsi="Calibri" w:cs="Times New Roman"/>
          <w:color w:val="auto"/>
          <w:sz w:val="22"/>
          <w:szCs w:val="20"/>
        </w:rPr>
      </w:pPr>
      <w:r w:rsidRPr="00C44328">
        <w:rPr>
          <w:rFonts w:ascii="Calibri" w:eastAsia="Calibri" w:hAnsi="Calibri" w:cs="Optima-Bold"/>
          <w:b/>
          <w:bCs/>
          <w:color w:val="auto"/>
          <w:sz w:val="22"/>
          <w:szCs w:val="20"/>
        </w:rPr>
        <w:t>P.1b(2).</w:t>
      </w:r>
      <w:r w:rsidRPr="00C44328">
        <w:rPr>
          <w:rFonts w:ascii="Calibri" w:eastAsia="Calibri" w:hAnsi="Calibri" w:cs="Optima-Bold"/>
          <w:b/>
          <w:bCs/>
          <w:color w:val="auto"/>
          <w:sz w:val="22"/>
          <w:szCs w:val="22"/>
        </w:rPr>
        <w:t xml:space="preserve"> </w:t>
      </w:r>
      <w:r w:rsidRPr="00C44328">
        <w:rPr>
          <w:rFonts w:ascii="Calibri" w:eastAsia="Calibri" w:hAnsi="Calibri" w:cs="Times New Roman"/>
          <w:color w:val="auto"/>
          <w:sz w:val="22"/>
          <w:szCs w:val="20"/>
        </w:rPr>
        <w:t xml:space="preserve">The requirements of your customer groups and market segments might include on-time delivery, low defect levels, safety, security, ongoing price reductions, </w:t>
      </w:r>
      <w:r w:rsidRPr="00C44328">
        <w:rPr>
          <w:rFonts w:ascii="Calibri" w:eastAsia="Calibri" w:hAnsi="Calibri" w:cs="Times New Roman"/>
          <w:b/>
          <w:color w:val="auto"/>
          <w:sz w:val="22"/>
          <w:szCs w:val="20"/>
        </w:rPr>
        <w:t>the</w:t>
      </w:r>
      <w:r w:rsidRPr="00C44328">
        <w:rPr>
          <w:rFonts w:ascii="Calibri" w:eastAsia="Calibri" w:hAnsi="Calibri" w:cs="Times New Roman"/>
          <w:color w:val="auto"/>
          <w:sz w:val="22"/>
          <w:szCs w:val="20"/>
        </w:rPr>
        <w:t xml:space="preserve"> leveraging of technology, rapid response, after-sales service, and multilingual services. </w:t>
      </w:r>
    </w:p>
    <w:p w:rsidR="001E31C1" w:rsidRPr="00C44328" w:rsidRDefault="001E31C1" w:rsidP="001E31C1">
      <w:pPr>
        <w:widowControl/>
        <w:autoSpaceDE/>
        <w:adjustRightInd/>
        <w:spacing w:after="120" w:line="240" w:lineRule="auto"/>
        <w:rPr>
          <w:rFonts w:ascii="Calibri" w:eastAsia="Calibri" w:hAnsi="Calibri" w:cs="Times New Roman"/>
          <w:color w:val="auto"/>
          <w:sz w:val="22"/>
          <w:szCs w:val="22"/>
        </w:rPr>
      </w:pPr>
      <w:r w:rsidRPr="00C44328">
        <w:rPr>
          <w:rFonts w:ascii="Calibri" w:eastAsia="Calibri" w:hAnsi="Calibri" w:cs="Times New Roman"/>
          <w:color w:val="auto"/>
          <w:sz w:val="22"/>
          <w:szCs w:val="20"/>
        </w:rPr>
        <w:t xml:space="preserve">The requirements of your stakeholder groups might include socially responsible behavior and community service. </w:t>
      </w:r>
      <w:r w:rsidRPr="00C44328">
        <w:rPr>
          <w:rFonts w:ascii="Calibri" w:eastAsia="Calibri" w:hAnsi="Calibri" w:cs="Palatino-Italic"/>
          <w:i/>
          <w:iCs/>
          <w:color w:val="auto"/>
          <w:sz w:val="22"/>
          <w:szCs w:val="20"/>
        </w:rPr>
        <w:t>For some nonprofit organizations, these requirements might also include administrative cost reductions, at-home services, and rapid response to emergencies.</w:t>
      </w:r>
    </w:p>
    <w:p w:rsidR="001E31C1" w:rsidRPr="00C44328" w:rsidRDefault="001E31C1" w:rsidP="001E31C1">
      <w:pPr>
        <w:widowControl/>
        <w:autoSpaceDE/>
        <w:adjustRightInd/>
        <w:spacing w:after="120" w:line="240" w:lineRule="auto"/>
        <w:rPr>
          <w:rFonts w:ascii="Calibri" w:eastAsia="Calibri" w:hAnsi="Calibri" w:cs="Times New Roman"/>
          <w:color w:val="auto"/>
          <w:sz w:val="22"/>
          <w:szCs w:val="22"/>
        </w:rPr>
      </w:pPr>
      <w:r w:rsidRPr="00C44328">
        <w:rPr>
          <w:rFonts w:ascii="Calibri" w:eastAsia="Calibri" w:hAnsi="Calibri" w:cs="Optima-Bold"/>
          <w:b/>
          <w:bCs/>
          <w:color w:val="auto"/>
          <w:sz w:val="22"/>
          <w:szCs w:val="20"/>
        </w:rPr>
        <w:t xml:space="preserve">P.1b(2). P.1b(3). </w:t>
      </w:r>
      <w:r w:rsidRPr="00C44328">
        <w:rPr>
          <w:rFonts w:ascii="Calibri" w:eastAsia="Calibri" w:hAnsi="Calibri" w:cs="Times New Roman"/>
          <w:color w:val="auto"/>
          <w:sz w:val="22"/>
          <w:szCs w:val="20"/>
        </w:rPr>
        <w:t>Customer, stakeholder, and operational requirements and expectations will drive your organization’s sensitivity to the risk of product, service, support, and supply-chain interruptions, including those due to natural disasters and other emergencies.</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Communication mechanisms should be two-way and use understandable language, and they might involve in-person contact, e-mail, </w:t>
      </w:r>
      <w:r>
        <w:rPr>
          <w:rFonts w:ascii="Calibri" w:eastAsia="Calibri" w:hAnsi="Calibri" w:cs="Times New Roman"/>
          <w:b/>
          <w:color w:val="31849B" w:themeColor="accent5" w:themeShade="BF"/>
          <w:sz w:val="22"/>
          <w:szCs w:val="20"/>
        </w:rPr>
        <w:t>social media</w:t>
      </w:r>
      <w:r>
        <w:rPr>
          <w:rFonts w:ascii="Calibri" w:eastAsia="Calibri" w:hAnsi="Calibri" w:cs="Times New Roman"/>
          <w:color w:val="auto"/>
          <w:sz w:val="22"/>
          <w:szCs w:val="20"/>
        </w:rPr>
        <w:t>, or the telephone. For many organizations, these mechanisms may change as marketplace, customer, or stakeholder requirements change.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9"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1E31C1"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industry or the markets you serve? How many and what types of competitors do you have?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lastRenderedPageBreak/>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What limitations, if any, affect your ability to obtain or use these data?</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Default="001E31C1" w:rsidP="001E31C1">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products, finances, operations, </w:t>
      </w:r>
      <w:r w:rsidRPr="00C44328">
        <w:rPr>
          <w:rFonts w:ascii="Calibri" w:eastAsia="Calibri" w:hAnsi="Calibri" w:cs="Times New Roman"/>
          <w:color w:val="auto"/>
          <w:sz w:val="22"/>
          <w:szCs w:val="20"/>
        </w:rPr>
        <w:t>organizational structure and culture, your parent organization’s capabilities, your customers and markets, brand recognition and reputation</w:t>
      </w:r>
      <w:r>
        <w:rPr>
          <w:rFonts w:ascii="Calibri" w:eastAsia="Calibri" w:hAnsi="Calibri" w:cs="Times New Roman"/>
          <w:color w:val="auto"/>
          <w:sz w:val="22"/>
          <w:szCs w:val="20"/>
        </w:rPr>
        <w:t xml:space="preserve">, your industry, globalization, climate change, your value chain, and people. </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price leadership, design services, innovation rate, geographic proximity, accessibility, and warranty and product options.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Palatino-Italic"/>
          <w:i/>
          <w:iCs/>
          <w:color w:val="auto"/>
          <w:sz w:val="22"/>
          <w:szCs w:val="20"/>
        </w:rPr>
        <w:t>For some nonprofit organizations, differentiators might also include relative influence with decision makers, ratio of administrative costs to programmatic contributions, reputation for program or service delivery, and wait times for service.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P.2b</w:t>
      </w:r>
      <w:r>
        <w:rPr>
          <w:rFonts w:ascii="Calibri" w:eastAsia="Calibri" w:hAnsi="Calibri" w:cs="Optima-Bold"/>
          <w:b/>
          <w:bCs/>
          <w:color w:val="365F91"/>
          <w:sz w:val="22"/>
          <w:szCs w:val="22"/>
        </w:rPr>
        <w:t xml:space="preserve">. </w:t>
      </w:r>
      <w:r>
        <w:rPr>
          <w:rFonts w:ascii="Calibri" w:eastAsia="Calibri" w:hAnsi="Calibri" w:cs="Palatino-Italic"/>
          <w:i/>
          <w:iCs/>
          <w:color w:val="auto"/>
          <w:sz w:val="22"/>
          <w:szCs w:val="20"/>
        </w:rPr>
        <w:t>Throughout the Criteria, “business” refers to a nonprofit organization’s main mission area or enterprise activity.</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sidR="009D5E44">
        <w:rPr>
          <w:rFonts w:ascii="Calibri" w:eastAsia="Calibri" w:hAnsi="Calibri" w:cs="Optima-Bold"/>
          <w:b/>
          <w:bCs/>
          <w:color w:val="365F91"/>
          <w:sz w:val="22"/>
          <w:szCs w:val="22"/>
        </w:rPr>
        <w:t>(NOT APPLICABLE AT THE BEGINNING LEVEL</w:t>
      </w:r>
      <w:r w:rsidR="00F25876">
        <w:rPr>
          <w:rFonts w:ascii="Calibri" w:eastAsia="Calibri" w:hAnsi="Calibri" w:cs="Optima-Bold"/>
          <w:b/>
          <w:bCs/>
          <w:color w:val="365F91"/>
          <w:sz w:val="22"/>
          <w:szCs w:val="22"/>
        </w:rPr>
        <w:t xml:space="preserve"> BUT PLACED HERE FOR LATER LEVELS)</w:t>
      </w:r>
      <w:bookmarkStart w:id="0" w:name="_GoBack"/>
      <w:bookmarkEnd w:id="0"/>
      <w:r w:rsidR="009D5E44">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Baldrige Scoring System (page 30-35 in the Baldrige Excellence Framework 2015-2016)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the ISO (e.g., 9000 or 14000), using decision science, or employing other improvement tools. </w:t>
      </w:r>
    </w:p>
    <w:p w:rsidR="00887117" w:rsidRDefault="00887117" w:rsidP="00887117">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0"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1E31C1" w:rsidRDefault="001E31C1" w:rsidP="001E31C1">
      <w:pPr>
        <w:widowControl/>
        <w:autoSpaceDE/>
        <w:adjustRightInd/>
        <w:spacing w:after="120" w:line="240" w:lineRule="auto"/>
        <w:rPr>
          <w:b/>
          <w:color w:val="5F497A" w:themeColor="accent4" w:themeShade="BF"/>
          <w:sz w:val="22"/>
          <w:szCs w:val="22"/>
        </w:rPr>
      </w:pPr>
    </w:p>
    <w:p w:rsidR="000944AC" w:rsidRDefault="000944AC"/>
    <w:sectPr w:rsidR="0009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C1"/>
    <w:rsid w:val="0003419F"/>
    <w:rsid w:val="000944AC"/>
    <w:rsid w:val="001E31C1"/>
    <w:rsid w:val="00887117"/>
    <w:rsid w:val="009D5E44"/>
    <w:rsid w:val="00C44328"/>
    <w:rsid w:val="00F2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3">
    <w:name w:val="heading 3"/>
    <w:basedOn w:val="Normal"/>
    <w:next w:val="Normal"/>
    <w:link w:val="Heading3Char"/>
    <w:uiPriority w:val="9"/>
    <w:semiHidden/>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3">
    <w:name w:val="heading 3"/>
    <w:basedOn w:val="Normal"/>
    <w:next w:val="Normal"/>
    <w:link w:val="Heading3Char"/>
    <w:uiPriority w:val="9"/>
    <w:semiHidden/>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124">
      <w:bodyDiv w:val="1"/>
      <w:marLeft w:val="0"/>
      <w:marRight w:val="0"/>
      <w:marTop w:val="0"/>
      <w:marBottom w:val="0"/>
      <w:divBdr>
        <w:top w:val="none" w:sz="0" w:space="0" w:color="auto"/>
        <w:left w:val="none" w:sz="0" w:space="0" w:color="auto"/>
        <w:bottom w:val="none" w:sz="0" w:space="0" w:color="auto"/>
        <w:right w:val="none" w:sz="0" w:space="0" w:color="auto"/>
      </w:divBdr>
    </w:div>
    <w:div w:id="13505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3" Type="http://schemas.microsoft.com/office/2007/relationships/stylesWithEffects" Target="stylesWithEffects.xml"/><Relationship Id="rId7" Type="http://schemas.openxmlformats.org/officeDocument/2006/relationships/hyperlink" Target="mailto:drmac@quality-tex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ality-texas.org" TargetMode="External"/><Relationship Id="rId4" Type="http://schemas.openxmlformats.org/officeDocument/2006/relationships/settings" Target="settings.xml"/><Relationship Id="rId9" Type="http://schemas.openxmlformats.org/officeDocument/2006/relationships/hyperlink" Target="http://www.nist.gov/baldrige/publications/business_nonprofit_criter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2015-05-30T21:34:00Z</dcterms:created>
  <dcterms:modified xsi:type="dcterms:W3CDTF">2015-05-30T21:34:00Z</dcterms:modified>
</cp:coreProperties>
</file>