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C66" w:rsidRDefault="00C21C66" w:rsidP="00C21C66">
      <w:pPr>
        <w:pStyle w:val="Heading1"/>
        <w:rPr>
          <w:color w:val="4472C4" w:themeColor="accent1"/>
          <w:sz w:val="48"/>
          <w:szCs w:val="48"/>
        </w:rPr>
      </w:pPr>
      <w:bookmarkStart w:id="0" w:name="_GoBack"/>
      <w:bookmarkEnd w:id="0"/>
      <w:r>
        <w:rPr>
          <w:color w:val="4472C4" w:themeColor="accent1"/>
          <w:sz w:val="48"/>
          <w:szCs w:val="48"/>
        </w:rPr>
        <w:t xml:space="preserve">2017–2018 </w:t>
      </w:r>
    </w:p>
    <w:p w:rsidR="00C21C66" w:rsidRDefault="00C21C66" w:rsidP="00C21C66">
      <w:pPr>
        <w:pStyle w:val="Heading1"/>
        <w:jc w:val="center"/>
        <w:rPr>
          <w:sz w:val="88"/>
          <w:szCs w:val="88"/>
        </w:rPr>
      </w:pPr>
      <w:r>
        <w:rPr>
          <w:noProof/>
          <w:sz w:val="88"/>
          <w:szCs w:val="88"/>
        </w:rPr>
        <w:drawing>
          <wp:inline distT="0" distB="0" distL="0" distR="0" wp14:anchorId="379EC147" wp14:editId="60699D41">
            <wp:extent cx="3143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600325"/>
                    </a:xfrm>
                    <a:prstGeom prst="rect">
                      <a:avLst/>
                    </a:prstGeom>
                    <a:noFill/>
                    <a:ln>
                      <a:noFill/>
                    </a:ln>
                  </pic:spPr>
                </pic:pic>
              </a:graphicData>
            </a:graphic>
          </wp:inline>
        </w:drawing>
      </w:r>
    </w:p>
    <w:p w:rsidR="00C21C66" w:rsidRDefault="00804FB7" w:rsidP="00C21C66">
      <w:pPr>
        <w:pStyle w:val="Heading1"/>
        <w:jc w:val="center"/>
        <w:rPr>
          <w:color w:val="4472C4" w:themeColor="accent1"/>
          <w:sz w:val="84"/>
          <w:szCs w:val="84"/>
        </w:rPr>
      </w:pPr>
      <w:r>
        <w:rPr>
          <w:color w:val="4472C4" w:themeColor="accent1"/>
          <w:sz w:val="84"/>
          <w:szCs w:val="84"/>
        </w:rPr>
        <w:t>Business/NFP</w:t>
      </w:r>
    </w:p>
    <w:p w:rsidR="00C21C66" w:rsidRDefault="00C21C66" w:rsidP="00C21C66">
      <w:pPr>
        <w:pStyle w:val="Heading1"/>
        <w:jc w:val="center"/>
        <w:rPr>
          <w:color w:val="4472C4" w:themeColor="accent1"/>
          <w:sz w:val="84"/>
          <w:szCs w:val="84"/>
        </w:rPr>
      </w:pPr>
      <w:r>
        <w:rPr>
          <w:color w:val="4472C4" w:themeColor="accent1"/>
          <w:sz w:val="84"/>
          <w:szCs w:val="84"/>
        </w:rPr>
        <w:t>Pioneer Level Criteria</w:t>
      </w:r>
      <w:r>
        <w:rPr>
          <w:color w:val="4472C4" w:themeColor="accent1"/>
          <w:sz w:val="84"/>
          <w:szCs w:val="84"/>
        </w:rPr>
        <w:br/>
        <w:t>for Performance Excellence</w:t>
      </w:r>
    </w:p>
    <w:p w:rsidR="00C21C66" w:rsidRDefault="00C21C66" w:rsidP="00C21C66">
      <w:pPr>
        <w:pStyle w:val="Heading1"/>
        <w:jc w:val="center"/>
        <w:rPr>
          <w:color w:val="4472C4" w:themeColor="accent1"/>
          <w:sz w:val="36"/>
          <w:szCs w:val="36"/>
        </w:rPr>
      </w:pPr>
      <w:r>
        <w:rPr>
          <w:color w:val="4472C4" w:themeColor="accent1"/>
          <w:sz w:val="36"/>
          <w:szCs w:val="36"/>
        </w:rPr>
        <w:t>Effective June 2017</w:t>
      </w:r>
    </w:p>
    <w:p w:rsidR="00C21C66" w:rsidRDefault="00C21C66" w:rsidP="00C21C66">
      <w:pPr>
        <w:pStyle w:val="Heading1"/>
        <w:rPr>
          <w:color w:val="63B18C"/>
          <w:sz w:val="22"/>
          <w:szCs w:val="22"/>
        </w:rPr>
      </w:pPr>
    </w:p>
    <w:p w:rsidR="00C21C66" w:rsidRDefault="00C21C66" w:rsidP="00C21C66">
      <w:pPr>
        <w:widowControl/>
        <w:autoSpaceDE/>
        <w:autoSpaceDN/>
        <w:adjustRightInd/>
        <w:spacing w:after="200" w:line="276" w:lineRule="auto"/>
        <w:rPr>
          <w:rFonts w:ascii="Calibri" w:hAnsi="Calibri" w:cs="Optima-Bold"/>
          <w:b/>
          <w:bCs/>
          <w:color w:val="365F91"/>
          <w:sz w:val="32"/>
          <w:szCs w:val="26"/>
        </w:rPr>
      </w:pPr>
      <w:r>
        <w:rPr>
          <w:rFonts w:ascii="Calibri" w:hAnsi="Calibri" w:cs="Optima-Bold"/>
          <w:color w:val="365F91"/>
          <w:sz w:val="32"/>
          <w:szCs w:val="26"/>
        </w:rPr>
        <w:br w:type="page"/>
      </w:r>
    </w:p>
    <w:p w:rsidR="00C21C66" w:rsidRDefault="00C21C66" w:rsidP="00C21C66">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C21C66" w:rsidRDefault="00C21C66" w:rsidP="00C21C66">
      <w:pPr>
        <w:rPr>
          <w:rFonts w:ascii="Times New Roman" w:hAnsi="Times New Roman" w:cs="Times New Roman"/>
        </w:rPr>
      </w:pPr>
      <w:r>
        <w:tab/>
      </w:r>
      <w:r>
        <w:rPr>
          <w:rFonts w:ascii="Times New Roman" w:hAnsi="Times New Roman" w:cs="Times New Roman"/>
        </w:rPr>
        <w:t>Thank you for taking the time to consider applying for the Quality Texas Foundation Pioneer Level of Recognition (five-page Organizational Profile). This is the starting point for your organization or a section/group within an organization. Your next step is our Engagement Level of Recognition (five-page Organizational Profile + 10-page application). Since this is probably your first entry with Quality Texas Foundation, welcome aboard.</w:t>
      </w:r>
    </w:p>
    <w:p w:rsidR="00C21C66" w:rsidRDefault="00C21C66" w:rsidP="00C21C66">
      <w:pPr>
        <w:rPr>
          <w:rFonts w:ascii="Times New Roman" w:hAnsi="Times New Roman" w:cs="Times New Roman"/>
        </w:rPr>
      </w:pPr>
      <w:r>
        <w:rPr>
          <w:rFonts w:ascii="Times New Roman" w:hAnsi="Times New Roman" w:cs="Times New Roman"/>
        </w:rPr>
        <w:tab/>
        <w:t xml:space="preserve"> It is our sincere hope that the questions embedded in the five-page organizational profile will cause your organization to evaluate exactly where you are, where you should be, and how you can significantly improve by prioritization of your improvement steps. The Baldrige Framework is used the world over (140 countries) to make systematic improvements to organizations. Proposed steps are shown below.</w:t>
      </w:r>
    </w:p>
    <w:p w:rsidR="00C21C66" w:rsidRDefault="00C21C66" w:rsidP="00C21C66">
      <w:pPr>
        <w:rPr>
          <w:rFonts w:ascii="Times New Roman" w:hAnsi="Times New Roman" w:cs="Times New Roman"/>
        </w:rPr>
      </w:pPr>
    </w:p>
    <w:p w:rsidR="00C21C66" w:rsidRDefault="00C21C66" w:rsidP="00C21C66">
      <w:pPr>
        <w:rPr>
          <w:rFonts w:ascii="Times New Roman" w:hAnsi="Times New Roman" w:cs="Times New Roman"/>
        </w:rPr>
      </w:pPr>
      <w:r>
        <w:rPr>
          <w:rFonts w:ascii="Times New Roman" w:hAnsi="Times New Roman" w:cs="Times New Roman"/>
        </w:rPr>
        <w:tab/>
        <w:t>1) Assign a minimum of two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w:t>
      </w:r>
    </w:p>
    <w:p w:rsidR="00C21C66" w:rsidRDefault="00C21C66" w:rsidP="00C21C66">
      <w:pPr>
        <w:rPr>
          <w:rFonts w:ascii="Times New Roman" w:hAnsi="Times New Roman" w:cs="Times New Roman"/>
        </w:rPr>
      </w:pPr>
    </w:p>
    <w:p w:rsidR="00C21C66" w:rsidRDefault="00C21C66" w:rsidP="00C21C66">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C21C66" w:rsidRDefault="00C21C66" w:rsidP="00C21C66">
      <w:pPr>
        <w:rPr>
          <w:rFonts w:ascii="Times New Roman" w:hAnsi="Times New Roman" w:cs="Times New Roman"/>
        </w:rPr>
      </w:pPr>
    </w:p>
    <w:p w:rsidR="00C21C66" w:rsidRDefault="00C21C66" w:rsidP="00C21C66">
      <w:pPr>
        <w:rPr>
          <w:rFonts w:ascii="Times New Roman" w:hAnsi="Times New Roman" w:cs="Times New Roman"/>
        </w:rPr>
      </w:pPr>
      <w:r>
        <w:rPr>
          <w:rFonts w:ascii="Times New Roman" w:hAnsi="Times New Roman" w:cs="Times New Roman"/>
        </w:rPr>
        <w:tab/>
        <w:t>3) Revise multiple times and submit.</w:t>
      </w:r>
    </w:p>
    <w:p w:rsidR="00C21C66" w:rsidRDefault="00C21C66" w:rsidP="00C21C66">
      <w:pPr>
        <w:rPr>
          <w:rFonts w:ascii="Times New Roman" w:hAnsi="Times New Roman" w:cs="Times New Roman"/>
        </w:rPr>
      </w:pPr>
    </w:p>
    <w:p w:rsidR="00C21C66" w:rsidRDefault="00C21C66" w:rsidP="00C21C66">
      <w:pPr>
        <w:rPr>
          <w:rFonts w:ascii="Times New Roman" w:hAnsi="Times New Roman" w:cs="Times New Roman"/>
        </w:rPr>
      </w:pPr>
      <w:r>
        <w:rPr>
          <w:rFonts w:ascii="Times New Roman" w:hAnsi="Times New Roman" w:cs="Times New Roman"/>
        </w:rPr>
        <w:tab/>
        <w:t xml:space="preserve">4) We also have organizational writing seminars where we will help you accomplish organizational improvements and complete the narrative for this level. </w:t>
      </w:r>
    </w:p>
    <w:p w:rsidR="00C21C66" w:rsidRDefault="00C21C66" w:rsidP="00C21C66">
      <w:pPr>
        <w:rPr>
          <w:rFonts w:ascii="Times New Roman" w:hAnsi="Times New Roman" w:cs="Times New Roman"/>
        </w:rPr>
      </w:pPr>
    </w:p>
    <w:p w:rsidR="00C21C66" w:rsidRDefault="00C21C66" w:rsidP="00C21C66">
      <w:pPr>
        <w:rPr>
          <w:rFonts w:ascii="Times New Roman" w:hAnsi="Times New Roman" w:cs="Times New Roman"/>
        </w:rPr>
      </w:pPr>
      <w:r>
        <w:rPr>
          <w:rFonts w:ascii="Times New Roman" w:hAnsi="Times New Roman" w:cs="Times New Roman"/>
        </w:rPr>
        <w:tab/>
        <w:t>If we here at the Quality Texas Foundation can be of assistance to you, please allow us that opportunity. We offer coaching and training to help maximize your positive experience.  Remember that the Baldrige Journey is never finished! Happy travels!</w:t>
      </w:r>
    </w:p>
    <w:p w:rsidR="00C21C66" w:rsidRDefault="00C21C66" w:rsidP="00C21C66">
      <w:pPr>
        <w:rPr>
          <w:rFonts w:ascii="Times New Roman" w:hAnsi="Times New Roman" w:cs="Times New Roman"/>
        </w:rPr>
      </w:pPr>
    </w:p>
    <w:p w:rsidR="00C21C66" w:rsidRDefault="00C21C66" w:rsidP="00C21C6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C21C66" w:rsidRDefault="00C21C66" w:rsidP="00C21C6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C21C66" w:rsidRDefault="00C21C66" w:rsidP="00C21C6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6" w:history="1">
        <w:r>
          <w:rPr>
            <w:rStyle w:val="Hyperlink"/>
            <w:rFonts w:eastAsiaTheme="majorEastAsia"/>
          </w:rPr>
          <w:t>drmac@quality-texas.org</w:t>
        </w:r>
      </w:hyperlink>
    </w:p>
    <w:p w:rsidR="00C21C66" w:rsidRDefault="00C21C66" w:rsidP="00C21C66">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Pr>
            <w:rStyle w:val="Hyperlink"/>
            <w:rFonts w:eastAsiaTheme="majorEastAsia"/>
          </w:rPr>
          <w:t>www.quality-texas.org</w:t>
        </w:r>
      </w:hyperlink>
      <w:r>
        <w:rPr>
          <w:rFonts w:ascii="Times New Roman" w:hAnsi="Times New Roman" w:cs="Times New Roman"/>
        </w:rPr>
        <w:tab/>
      </w:r>
      <w:r>
        <w:rPr>
          <w:rFonts w:ascii="Calibri" w:hAnsi="Calibri" w:cs="Optima-Bold"/>
          <w:color w:val="365F91"/>
          <w:sz w:val="32"/>
          <w:szCs w:val="26"/>
        </w:rPr>
        <w:br w:type="page"/>
      </w:r>
    </w:p>
    <w:p w:rsidR="00CD77FC" w:rsidRDefault="00CD77FC" w:rsidP="00CD77FC">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CD77FC" w:rsidRDefault="00CD77FC" w:rsidP="00CD77FC">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With this Pioneer Level, the organizational profile will need to be completed. It is critically important for the following reasons:</w:t>
      </w:r>
    </w:p>
    <w:p w:rsidR="00CD77FC" w:rsidRDefault="00CD77FC" w:rsidP="00CD77FC">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CD77FC" w:rsidRDefault="00CD77FC" w:rsidP="00CD77FC">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CD77FC" w:rsidRDefault="00CD77FC" w:rsidP="00CD77FC">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 xml:space="preserve">It sets the context for your responses to the Criteria requirements in categories 1–7 should your group, section, or organization decide to move forward. </w:t>
      </w:r>
    </w:p>
    <w:p w:rsidR="00CD77FC" w:rsidRDefault="00CD77FC" w:rsidP="00CD77FC">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CD77FC" w:rsidRDefault="00CD77FC" w:rsidP="00CD77FC">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CD77FC" w:rsidRDefault="00CD77FC" w:rsidP="00CD77FC">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CD77FC" w:rsidRDefault="00CD77FC" w:rsidP="00CD77FC">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CD77FC" w:rsidRDefault="00CD77FC" w:rsidP="00CD77FC">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CD77FC" w:rsidRDefault="00CD77FC" w:rsidP="00CD77FC">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CD77FC" w:rsidRDefault="00CD77FC" w:rsidP="00CD77F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Product Offerings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main product offerings (see the note on the next page)?</w:t>
      </w:r>
    </w:p>
    <w:p w:rsidR="00CD77FC" w:rsidRDefault="00CD77FC" w:rsidP="00CD77F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is the relative importance of each to your success? </w:t>
      </w:r>
    </w:p>
    <w:p w:rsidR="00CD77FC" w:rsidRDefault="00CD77FC" w:rsidP="00CD77F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What mechanisms do you use to deliver your products?</w:t>
      </w:r>
    </w:p>
    <w:p w:rsidR="00CD77FC" w:rsidRDefault="00CD77FC" w:rsidP="00CD77F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 Vision</w:t>
      </w:r>
      <w:r>
        <w:rPr>
          <w:rFonts w:ascii="Calibri" w:eastAsia="Calibri" w:hAnsi="Calibri" w:cs="Times New Roman"/>
          <w:b/>
          <w:color w:val="auto"/>
          <w:sz w:val="22"/>
          <w:szCs w:val="22"/>
        </w:rPr>
        <w:t xml:space="preserve">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What are your stated Mission</w:t>
      </w:r>
      <w:r>
        <w:rPr>
          <w:rFonts w:ascii="Calibri" w:eastAsia="Calibri" w:hAnsi="Calibri" w:cs="Palatino-Light"/>
          <w:smallCaps/>
          <w:color w:val="auto"/>
          <w:sz w:val="22"/>
          <w:szCs w:val="22"/>
        </w:rPr>
        <w:t>,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t>
      </w:r>
    </w:p>
    <w:p w:rsidR="00CD77FC" w:rsidRDefault="00CD77FC" w:rsidP="00CD77F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CD77FC" w:rsidRDefault="00CD77FC" w:rsidP="00CD77F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t>
      </w:r>
    </w:p>
    <w:p w:rsidR="00CD77FC" w:rsidRDefault="00CD77FC" w:rsidP="00CD77FC">
      <w:pPr>
        <w:widowControl/>
        <w:autoSpaceDE/>
        <w:adjustRightInd/>
        <w:spacing w:after="120" w:line="240" w:lineRule="auto"/>
        <w:ind w:left="720" w:hanging="360"/>
        <w:rPr>
          <w:rFonts w:ascii="Calibri" w:eastAsia="Calibri" w:hAnsi="Calibri" w:cs="Times New Roman"/>
          <w:color w:val="auto"/>
          <w:sz w:val="22"/>
          <w:szCs w:val="22"/>
        </w:rPr>
      </w:pPr>
      <w:r w:rsidRPr="00F25876">
        <w:rPr>
          <w:rFonts w:ascii="Calibri" w:eastAsia="Calibri" w:hAnsi="Calibri" w:cs="Times New Roman"/>
          <w:color w:val="auto"/>
          <w:sz w:val="22"/>
          <w:szCs w:val="22"/>
        </w:rPr>
        <w:t xml:space="preserve">What recent changes have you experienced in WORKFORCE composition or your WORKFORCE needs? </w:t>
      </w:r>
      <w:r>
        <w:rPr>
          <w:rFonts w:ascii="Calibri" w:eastAsia="Calibri" w:hAnsi="Calibri" w:cs="Times New Roman"/>
          <w:color w:val="auto"/>
          <w:sz w:val="22"/>
          <w:szCs w:val="22"/>
        </w:rPr>
        <w:t>What are:</w:t>
      </w:r>
    </w:p>
    <w:p w:rsidR="00CD77FC" w:rsidRDefault="00CD77FC" w:rsidP="00CD77FC">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CD77FC" w:rsidRDefault="00CD77FC" w:rsidP="00CD77FC">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CD77FC" w:rsidRDefault="00CD77FC" w:rsidP="00CD77FC">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elements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CD77FC" w:rsidRDefault="00CD77FC" w:rsidP="00CD77FC">
      <w:pPr>
        <w:widowControl/>
        <w:autoSpaceDE/>
        <w:adjustRightInd/>
        <w:spacing w:after="120" w:line="240" w:lineRule="auto"/>
        <w:ind w:left="432"/>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(union representation)? What are your organization’s special health and safety requirements?</w:t>
      </w:r>
    </w:p>
    <w:p w:rsidR="00CD77FC" w:rsidRDefault="00CD77FC" w:rsidP="00CD77F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C21C66" w:rsidRDefault="00C21C66" w:rsidP="00CD77FC">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the regulatory environment under which you operate? </w:t>
      </w:r>
    </w:p>
    <w:p w:rsidR="00C21C66" w:rsidRDefault="00C21C66" w:rsidP="00C21C66">
      <w:pPr>
        <w:widowControl/>
        <w:autoSpaceDE/>
        <w:adjustRightInd/>
        <w:spacing w:after="120" w:line="240" w:lineRule="auto"/>
        <w:ind w:left="792" w:hanging="360"/>
        <w:rPr>
          <w:rFonts w:ascii="Calibri" w:eastAsia="Calibri" w:hAnsi="Calibri" w:cs="Times New Roman"/>
          <w:color w:val="auto"/>
          <w:sz w:val="22"/>
          <w:szCs w:val="22"/>
        </w:rPr>
      </w:pPr>
      <w:r>
        <w:rPr>
          <w:rFonts w:ascii="Calibri" w:eastAsia="Calibri" w:hAnsi="Calibri" w:cs="Times New Roman"/>
          <w:color w:val="auto"/>
          <w:sz w:val="22"/>
          <w:szCs w:val="22"/>
        </w:rPr>
        <w:t>What are the applicable occupational health and safety regulations; accreditation; certification, or registration requirements; industry standards; and environmental, financial, and product regulations?</w:t>
      </w:r>
    </w:p>
    <w:p w:rsidR="00C21C66" w:rsidRDefault="00C21C66" w:rsidP="00C21C66">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products,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role do they play in your </w:t>
      </w:r>
      <w:r>
        <w:rPr>
          <w:rFonts w:ascii="Calibri" w:eastAsia="Calibri" w:hAnsi="Calibri" w:cs="Palatino-Light"/>
          <w:smallCaps/>
          <w:color w:val="auto"/>
          <w:sz w:val="22"/>
          <w:szCs w:val="22"/>
        </w:rPr>
        <w:t>work systems</w:t>
      </w:r>
      <w:r>
        <w:rPr>
          <w:rFonts w:ascii="Calibri" w:eastAsia="Calibri" w:hAnsi="Calibri" w:cs="Times New Roman"/>
          <w:color w:val="auto"/>
          <w:sz w:val="22"/>
          <w:szCs w:val="22"/>
        </w:rPr>
        <w:t xml:space="preserve">, especially in producing and delivering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products and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role do they play in enhancing your competitiveness?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mechanisms for two-way communication with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role, if any, do these organizations play in contributing and implementing </w:t>
      </w:r>
      <w:r>
        <w:rPr>
          <w:rFonts w:ascii="Calibri" w:eastAsia="Calibri" w:hAnsi="Calibri" w:cs="Palatino-Light"/>
          <w:smallCaps/>
          <w:color w:val="auto"/>
          <w:sz w:val="22"/>
          <w:szCs w:val="22"/>
        </w:rPr>
        <w:t>innovations</w:t>
      </w:r>
      <w:r>
        <w:rPr>
          <w:rFonts w:ascii="Calibri" w:eastAsia="Calibri" w:hAnsi="Calibri" w:cs="Times New Roman"/>
          <w:color w:val="auto"/>
          <w:sz w:val="22"/>
          <w:szCs w:val="22"/>
        </w:rPr>
        <w:t xml:space="preserve"> in your organization?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supply-chain requirements?</w:t>
      </w:r>
    </w:p>
    <w:p w:rsidR="00C21C66" w:rsidRDefault="00C21C66" w:rsidP="00C21C66">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w:t>
      </w:r>
    </w:p>
    <w:p w:rsidR="00C21C66" w:rsidRDefault="00C21C66" w:rsidP="00C21C66">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804FB7" w:rsidRDefault="00804FB7" w:rsidP="00C21C66">
      <w:pPr>
        <w:pStyle w:val="Pa29"/>
        <w:spacing w:after="100"/>
        <w:rPr>
          <w:rFonts w:asciiTheme="minorHAnsi" w:hAnsiTheme="minorHAnsi" w:cstheme="minorHAnsi"/>
          <w:b/>
          <w:bCs/>
          <w:color w:val="000000"/>
          <w:sz w:val="22"/>
          <w:szCs w:val="22"/>
        </w:rPr>
        <w:sectPr w:rsidR="00804FB7">
          <w:pgSz w:w="12240" w:h="15840"/>
          <w:pgMar w:top="1440" w:right="1440" w:bottom="1440" w:left="1440" w:header="720" w:footer="720" w:gutter="0"/>
          <w:cols w:space="720"/>
          <w:docGrid w:linePitch="360"/>
        </w:sectPr>
      </w:pPr>
    </w:p>
    <w:p w:rsidR="00804FB7"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 </w:t>
      </w:r>
      <w:r w:rsidR="00804FB7" w:rsidRPr="00804FB7">
        <w:rPr>
          <w:rFonts w:asciiTheme="minorHAnsi" w:hAnsiTheme="minorHAnsi" w:cstheme="minorHAnsi"/>
          <w:color w:val="000000"/>
          <w:sz w:val="22"/>
          <w:szCs w:val="22"/>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P.1a(1). </w:t>
      </w:r>
      <w:r w:rsidR="00804FB7" w:rsidRPr="00804FB7">
        <w:rPr>
          <w:rFonts w:asciiTheme="minorHAnsi" w:hAnsiTheme="minorHAnsi" w:cstheme="minorHAnsi"/>
          <w:color w:val="000000"/>
          <w:sz w:val="22"/>
          <w:szCs w:val="22"/>
        </w:rPr>
        <w:t xml:space="preserve">Product offerings and products are the goods and services you offer in the marketplace. Mechanisms for delivering products to your end-use customers might be direct or might be indirect, through dealers, distributors, collaborators, or channel partners. </w:t>
      </w:r>
      <w:r w:rsidR="00804FB7" w:rsidRPr="00804FB7">
        <w:rPr>
          <w:rFonts w:asciiTheme="minorHAnsi" w:hAnsiTheme="minorHAnsi" w:cstheme="minorHAnsi"/>
          <w:i/>
          <w:iCs/>
          <w:color w:val="000000"/>
          <w:sz w:val="22"/>
          <w:szCs w:val="22"/>
        </w:rPr>
        <w:t>Nonprofit (including gov</w:t>
      </w:r>
      <w:r w:rsidR="00804FB7" w:rsidRPr="00804FB7">
        <w:rPr>
          <w:rFonts w:asciiTheme="minorHAnsi" w:hAnsiTheme="minorHAnsi" w:cstheme="minorHAnsi"/>
          <w:i/>
          <w:iCs/>
          <w:color w:val="000000"/>
          <w:sz w:val="22"/>
          <w:szCs w:val="22"/>
        </w:rPr>
        <w:softHyphen/>
        <w:t>ernment) organizations might refer to their product offerings as programs, projects, or services.</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P.1a(2). </w:t>
      </w:r>
      <w:r w:rsidR="00804FB7" w:rsidRPr="00804FB7">
        <w:rPr>
          <w:rFonts w:asciiTheme="minorHAnsi" w:hAnsiTheme="minorHAnsi" w:cstheme="minorHAnsi"/>
          <w:color w:val="000000"/>
          <w:sz w:val="22"/>
          <w:szCs w:val="22"/>
        </w:rPr>
        <w:t>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P.1a(2). </w:t>
      </w:r>
      <w:r w:rsidR="00804FB7" w:rsidRPr="00804FB7">
        <w:rPr>
          <w:rFonts w:asciiTheme="minorHAnsi" w:hAnsiTheme="minorHAnsi" w:cstheme="minorHAnsi"/>
          <w:color w:val="000000"/>
          <w:sz w:val="22"/>
          <w:szCs w:val="22"/>
        </w:rPr>
        <w:t xml:space="preserve">Core competencies are your organization’s areas of greatest expertise. They are those strategically important, possibly specialized capabilities that are central to fulfilling your mission or provide an advantage in your marketplace or service environment. Core competencies are frequently challenging for competitors or suppliers and partners to imitate and frequently preserve your competitive advantage. </w:t>
      </w:r>
      <w:r w:rsidRPr="00804FB7">
        <w:rPr>
          <w:rFonts w:asciiTheme="minorHAnsi" w:hAnsiTheme="minorHAnsi" w:cstheme="minorHAnsi"/>
          <w:color w:val="000000"/>
          <w:sz w:val="22"/>
          <w:szCs w:val="22"/>
        </w:rPr>
        <w:t xml:space="preserve"> </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P.1a(3). </w:t>
      </w:r>
      <w:r w:rsidRPr="00804FB7">
        <w:rPr>
          <w:rFonts w:asciiTheme="minorHAnsi" w:hAnsiTheme="minorHAnsi" w:cstheme="minorHAnsi"/>
          <w:color w:val="000000"/>
          <w:sz w:val="22"/>
          <w:szCs w:val="22"/>
        </w:rPr>
        <w:t>Workforce or employee groups and segments (including organized bargaining units) might be based on type of employment or contract-reporting relationship, loca</w:t>
      </w:r>
      <w:r w:rsidRPr="00804FB7">
        <w:rPr>
          <w:rFonts w:asciiTheme="minorHAnsi" w:hAnsiTheme="minorHAnsi" w:cstheme="minorHAnsi"/>
          <w:color w:val="000000"/>
          <w:sz w:val="22"/>
          <w:szCs w:val="22"/>
        </w:rPr>
        <w:softHyphen/>
        <w:t xml:space="preserve">tion (including telework), tour of duty, work environment, use of certain family-friendly policies, or other factors. </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P.1a(3). </w:t>
      </w:r>
      <w:r w:rsidRPr="00804FB7">
        <w:rPr>
          <w:rFonts w:asciiTheme="minorHAnsi" w:hAnsiTheme="minorHAnsi" w:cstheme="minorHAnsi"/>
          <w:color w:val="000000"/>
          <w:sz w:val="22"/>
          <w:szCs w:val="22"/>
        </w:rPr>
        <w:t>Organizations that also rely on volunteers and unpaid interns to accomplish their work should include these groups as part of their workforce.</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P.1a(5). </w:t>
      </w:r>
      <w:r w:rsidR="00804FB7" w:rsidRPr="00804FB7">
        <w:rPr>
          <w:rFonts w:asciiTheme="minorHAnsi" w:hAnsiTheme="minorHAnsi" w:cstheme="minorHAnsi"/>
          <w:color w:val="000000"/>
          <w:sz w:val="22"/>
          <w:szCs w:val="22"/>
        </w:rPr>
        <w:t>Industry standards might include industrywide codes of conduct and policy guidance. In the Criteria, indus</w:t>
      </w:r>
      <w:r w:rsidR="00804FB7" w:rsidRPr="00804FB7">
        <w:rPr>
          <w:rFonts w:asciiTheme="minorHAnsi" w:hAnsiTheme="minorHAnsi" w:cstheme="minorHAnsi"/>
          <w:color w:val="000000"/>
          <w:sz w:val="22"/>
          <w:szCs w:val="22"/>
        </w:rPr>
        <w:softHyphen/>
        <w:t xml:space="preserve">try refers to the sector in which you operate. </w:t>
      </w:r>
      <w:r w:rsidR="00804FB7" w:rsidRPr="00804FB7">
        <w:rPr>
          <w:rFonts w:asciiTheme="minorHAnsi" w:hAnsiTheme="minorHAnsi" w:cstheme="minorHAnsi"/>
          <w:i/>
          <w:iCs/>
          <w:color w:val="000000"/>
          <w:sz w:val="22"/>
          <w:szCs w:val="22"/>
        </w:rPr>
        <w:t xml:space="preserve">For nonprofit (including government) organizations, this sector might be charitable organizations, professional associations and societies, religious organizations, or government entities—or a subsector of one of these. </w:t>
      </w:r>
      <w:r w:rsidR="00804FB7" w:rsidRPr="00804FB7">
        <w:rPr>
          <w:rFonts w:asciiTheme="minorHAnsi" w:hAnsiTheme="minorHAnsi" w:cstheme="minorHAnsi"/>
          <w:color w:val="000000"/>
          <w:sz w:val="22"/>
          <w:szCs w:val="22"/>
        </w:rPr>
        <w:t>Depending on the regions in which you operate, environmental regulations might cover greenhouse gas emissions, carbon regulations and trading, and energy efficiency.</w:t>
      </w:r>
      <w:r w:rsidRPr="00804FB7">
        <w:rPr>
          <w:rFonts w:asciiTheme="minorHAnsi" w:hAnsiTheme="minorHAnsi" w:cstheme="minorHAnsi"/>
          <w:color w:val="000000"/>
          <w:sz w:val="22"/>
          <w:szCs w:val="22"/>
        </w:rPr>
        <w:t xml:space="preserve"> </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P.1b(1). </w:t>
      </w:r>
      <w:r w:rsidRPr="00804FB7">
        <w:rPr>
          <w:rFonts w:asciiTheme="minorHAnsi" w:hAnsiTheme="minorHAnsi" w:cstheme="minorHAnsi"/>
          <w:i/>
          <w:iCs/>
          <w:color w:val="000000"/>
          <w:sz w:val="22"/>
          <w:szCs w:val="22"/>
        </w:rPr>
        <w:t>For some nonprofit (including government) organiza</w:t>
      </w:r>
      <w:r w:rsidRPr="00804FB7">
        <w:rPr>
          <w:rFonts w:asciiTheme="minorHAnsi" w:hAnsiTheme="minorHAnsi" w:cstheme="minorHAnsi"/>
          <w:i/>
          <w:iCs/>
          <w:color w:val="000000"/>
          <w:sz w:val="22"/>
          <w:szCs w:val="22"/>
        </w:rPr>
        <w:softHyphen/>
        <w:t xml:space="preserve">tions, governance and reporting relationships might include relationships with major funding sources, such as granting agencies, legislatures, or foundations. </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P.1b(1). </w:t>
      </w:r>
      <w:r w:rsidRPr="00804FB7">
        <w:rPr>
          <w:rFonts w:asciiTheme="minorHAnsi" w:hAnsiTheme="minorHAnsi" w:cstheme="minorHAnsi"/>
          <w:color w:val="000000"/>
          <w:sz w:val="22"/>
          <w:szCs w:val="22"/>
        </w:rPr>
        <w:t>The governance or oversight system for privately held businesses, nonprofit organizations, and government agencies may comprise an advisory board, a family council, or local/regional leaders who are assembled to provide guidance.</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Pr="00804FB7">
        <w:rPr>
          <w:rFonts w:asciiTheme="minorHAnsi" w:hAnsiTheme="minorHAnsi" w:cstheme="minorHAnsi"/>
          <w:color w:val="000000"/>
          <w:sz w:val="22"/>
          <w:szCs w:val="22"/>
        </w:rPr>
        <w:t xml:space="preserve">Customers include the users and potential users of your products. </w:t>
      </w:r>
      <w:r w:rsidRPr="00804FB7">
        <w:rPr>
          <w:rFonts w:asciiTheme="minorHAnsi" w:hAnsiTheme="minorHAnsi" w:cstheme="minorHAnsi"/>
          <w:i/>
          <w:iCs/>
          <w:color w:val="000000"/>
          <w:sz w:val="22"/>
          <w:szCs w:val="22"/>
        </w:rPr>
        <w:t>For some nonprofit (including government) organizations, customers might include members, taxpayers, citizens, recipients, clients, and beneficiaries, and market seg</w:t>
      </w:r>
      <w:r w:rsidRPr="00804FB7">
        <w:rPr>
          <w:rFonts w:asciiTheme="minorHAnsi" w:hAnsiTheme="minorHAnsi" w:cstheme="minorHAnsi"/>
          <w:i/>
          <w:iCs/>
          <w:color w:val="000000"/>
          <w:sz w:val="22"/>
          <w:szCs w:val="22"/>
        </w:rPr>
        <w:softHyphen/>
        <w:t xml:space="preserve">ments might be referred to as constituencies. </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Pr="00804FB7">
        <w:rPr>
          <w:rFonts w:asciiTheme="minorHAnsi" w:hAnsiTheme="minorHAnsi" w:cstheme="minorHAnsi"/>
          <w:i/>
          <w:iCs/>
          <w:color w:val="000000"/>
          <w:sz w:val="22"/>
          <w:szCs w:val="22"/>
        </w:rPr>
        <w:t>For government agencies, the legislature (as a source of funds) may be a key stakeholder.</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00804FB7" w:rsidRPr="00804FB7">
        <w:rPr>
          <w:rFonts w:asciiTheme="minorHAnsi" w:hAnsiTheme="minorHAnsi" w:cstheme="minorHAnsi"/>
          <w:color w:val="000000"/>
          <w:sz w:val="22"/>
          <w:szCs w:val="22"/>
        </w:rPr>
        <w:t>Customer groups might be based on common expectations, behaviors, preferences, or profiles. Within a group, there may be customer segments based on differ</w:t>
      </w:r>
      <w:r w:rsidR="00804FB7" w:rsidRPr="00804FB7">
        <w:rPr>
          <w:rFonts w:asciiTheme="minorHAnsi" w:hAnsiTheme="minorHAnsi" w:cstheme="minorHAnsi"/>
          <w:color w:val="000000"/>
          <w:sz w:val="22"/>
          <w:szCs w:val="22"/>
        </w:rPr>
        <w:softHyphen/>
        <w:t>ences, commonalities, or both. You might subdivide your market into segments based on product lines or features, distribution channels, business volume, geography, or other defining factors.</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00804FB7" w:rsidRPr="00804FB7">
        <w:rPr>
          <w:rFonts w:asciiTheme="minorHAnsi" w:hAnsiTheme="minorHAnsi" w:cstheme="minorHAnsi"/>
          <w:color w:val="000000"/>
          <w:sz w:val="22"/>
          <w:szCs w:val="22"/>
        </w:rPr>
        <w:t xml:space="preserve">The requirements of your customer groups and market segments might include on-time delivery; low defect levels; safety; security, including cybersecurity; ongoing price reductions; the leveraging of technology; rapid response; after-sales service; and multilingual services. The requirements of your stakeholder groups might include socially responsible behavior and community service. </w:t>
      </w:r>
      <w:r w:rsidR="00804FB7" w:rsidRPr="00804FB7">
        <w:rPr>
          <w:rFonts w:asciiTheme="minorHAnsi" w:hAnsiTheme="minorHAnsi" w:cstheme="minorHAnsi"/>
          <w:i/>
          <w:iCs/>
          <w:color w:val="000000"/>
          <w:sz w:val="22"/>
          <w:szCs w:val="22"/>
        </w:rPr>
        <w:t>For some nonprofit (including government) organizations, these requirements might also include administrative cost reductions, at-home services, and rapid response to emergencies.</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P.1b(3). </w:t>
      </w:r>
      <w:r w:rsidRPr="00804FB7">
        <w:rPr>
          <w:rFonts w:asciiTheme="minorHAnsi" w:hAnsiTheme="minorHAnsi" w:cstheme="minorHAnsi"/>
          <w:color w:val="000000"/>
          <w:sz w:val="22"/>
          <w:szCs w:val="22"/>
        </w:rPr>
        <w:t xml:space="preserve">Customer, stakeholder, and operational requirements and expectations will drive your organization’s sensitivity to the risk of product, service, support, and supply-chain interruptions, including those due to natural disasters and other emergencies. </w:t>
      </w:r>
    </w:p>
    <w:p w:rsidR="00C21C66" w:rsidRPr="00804FB7" w:rsidRDefault="00C21C66" w:rsidP="00C21C66">
      <w:pPr>
        <w:pStyle w:val="Pa29"/>
        <w:spacing w:after="100"/>
        <w:rPr>
          <w:rFonts w:asciiTheme="minorHAnsi" w:hAnsiTheme="minorHAnsi" w:cstheme="minorHAnsi"/>
          <w:color w:val="000000"/>
          <w:sz w:val="22"/>
          <w:szCs w:val="22"/>
        </w:rPr>
      </w:pPr>
      <w:r w:rsidRPr="00804FB7">
        <w:rPr>
          <w:rFonts w:asciiTheme="minorHAnsi" w:hAnsiTheme="minorHAnsi" w:cstheme="minorHAnsi"/>
          <w:b/>
          <w:bCs/>
          <w:sz w:val="22"/>
          <w:szCs w:val="22"/>
        </w:rPr>
        <w:t xml:space="preserve">P.1b(3). </w:t>
      </w:r>
      <w:r w:rsidRPr="00804FB7">
        <w:rPr>
          <w:rFonts w:asciiTheme="minorHAnsi" w:hAnsiTheme="minorHAnsi" w:cstheme="minorHAnsi"/>
          <w:sz w:val="22"/>
          <w:szCs w:val="22"/>
        </w:rPr>
        <w:t>Communication mechanisms should use under</w:t>
      </w:r>
      <w:r w:rsidRPr="00804FB7">
        <w:rPr>
          <w:rFonts w:asciiTheme="minorHAnsi" w:hAnsiTheme="minorHAnsi" w:cstheme="minorHAnsi"/>
          <w:sz w:val="22"/>
          <w:szCs w:val="22"/>
        </w:rPr>
        <w:softHyphen/>
        <w:t xml:space="preserve">standable language, and they might involve in-person contact; email, social media, or other electronic means; or the telephone. For many organizations, these mechanisms </w:t>
      </w:r>
      <w:r w:rsidRPr="00804FB7">
        <w:rPr>
          <w:rFonts w:asciiTheme="minorHAnsi" w:hAnsiTheme="minorHAnsi" w:cstheme="minorHAnsi"/>
          <w:color w:val="000000"/>
          <w:sz w:val="22"/>
          <w:szCs w:val="22"/>
        </w:rPr>
        <w:t>may change as marketplace, customer, or stakeholder requirements change.</w:t>
      </w:r>
    </w:p>
    <w:p w:rsidR="00804FB7" w:rsidRDefault="00804FB7" w:rsidP="00C21C66">
      <w:pPr>
        <w:widowControl/>
        <w:autoSpaceDE/>
        <w:adjustRightInd/>
        <w:spacing w:after="120" w:line="240" w:lineRule="auto"/>
        <w:rPr>
          <w:rFonts w:asciiTheme="minorHAnsi" w:hAnsiTheme="minorHAnsi" w:cstheme="minorHAnsi"/>
          <w:sz w:val="22"/>
          <w:szCs w:val="22"/>
        </w:rPr>
      </w:pPr>
    </w:p>
    <w:p w:rsidR="00804FB7" w:rsidRPr="00804FB7" w:rsidRDefault="00804FB7" w:rsidP="00C21C66">
      <w:pPr>
        <w:widowControl/>
        <w:autoSpaceDE/>
        <w:adjustRightInd/>
        <w:spacing w:after="120" w:line="240" w:lineRule="auto"/>
        <w:rPr>
          <w:rFonts w:asciiTheme="minorHAnsi" w:hAnsiTheme="minorHAnsi" w:cstheme="minorHAnsi"/>
          <w:sz w:val="22"/>
          <w:szCs w:val="22"/>
        </w:rPr>
      </w:pPr>
      <w:r w:rsidRPr="00804FB7">
        <w:rPr>
          <w:rFonts w:asciiTheme="minorHAnsi" w:hAnsiTheme="minorHAnsi" w:cstheme="minorHAnsi"/>
          <w:sz w:val="22"/>
          <w:szCs w:val="22"/>
        </w:rPr>
        <w:t>For additional guidance on this item, see the Criteria Commentary (https://www.nist.gov/baldrige/baldrige-criteria-commentary).</w:t>
      </w:r>
    </w:p>
    <w:p w:rsidR="00804FB7" w:rsidRDefault="00804FB7" w:rsidP="00C21C66">
      <w:pPr>
        <w:widowControl/>
        <w:autoSpaceDE/>
        <w:adjustRightInd/>
        <w:spacing w:after="120" w:line="240" w:lineRule="auto"/>
        <w:rPr>
          <w:rFonts w:asciiTheme="minorHAnsi" w:hAnsiTheme="minorHAnsi"/>
          <w:b/>
          <w:color w:val="538135" w:themeColor="accent6" w:themeShade="BF"/>
          <w:sz w:val="22"/>
          <w:szCs w:val="22"/>
        </w:rPr>
        <w:sectPr w:rsidR="00804FB7" w:rsidSect="00804FB7">
          <w:type w:val="continuous"/>
          <w:pgSz w:w="12240" w:h="15840"/>
          <w:pgMar w:top="1440" w:right="1440" w:bottom="1440" w:left="1440" w:header="720" w:footer="720" w:gutter="0"/>
          <w:cols w:num="2" w:space="720"/>
          <w:docGrid w:linePitch="360"/>
        </w:sectPr>
      </w:pPr>
    </w:p>
    <w:p w:rsidR="00C21C66" w:rsidRDefault="00C21C66" w:rsidP="00C21C66">
      <w:pPr>
        <w:widowControl/>
        <w:autoSpaceDE/>
        <w:adjustRightInd/>
        <w:spacing w:after="120" w:line="240" w:lineRule="auto"/>
        <w:rPr>
          <w:b/>
          <w:color w:val="BF8F00" w:themeColor="accent4" w:themeShade="BF"/>
          <w:sz w:val="22"/>
          <w:szCs w:val="22"/>
        </w:rPr>
      </w:pPr>
      <w:r>
        <w:rPr>
          <w:rFonts w:asciiTheme="minorHAnsi" w:hAnsiTheme="minorHAnsi"/>
          <w:b/>
          <w:color w:val="538135" w:themeColor="accent6" w:themeShade="BF"/>
          <w:sz w:val="22"/>
          <w:szCs w:val="22"/>
        </w:rPr>
        <w:t xml:space="preserve">Please visit our website </w:t>
      </w:r>
      <w:hyperlink r:id="rId8" w:history="1">
        <w:r>
          <w:rPr>
            <w:rStyle w:val="Hyperlink"/>
            <w:rFonts w:asciiTheme="minorHAnsi" w:eastAsiaTheme="majorEastAsia" w:hAnsiTheme="minorHAnsi"/>
            <w:sz w:val="22"/>
            <w:szCs w:val="22"/>
          </w:rPr>
          <w:t>www.quality-texas.org</w:t>
        </w:r>
      </w:hyperlink>
      <w:r>
        <w:rPr>
          <w:rFonts w:asciiTheme="minorHAnsi" w:hAnsiTheme="minorHAnsi"/>
          <w:b/>
          <w:color w:val="538135" w:themeColor="accent6" w:themeShade="BF"/>
          <w:sz w:val="22"/>
          <w:szCs w:val="22"/>
        </w:rPr>
        <w:t xml:space="preserve"> applicants tab. </w:t>
      </w:r>
    </w:p>
    <w:p w:rsidR="00C21C66" w:rsidRDefault="00C21C66" w:rsidP="00C21C66">
      <w:pPr>
        <w:keepNext/>
        <w:keepLines/>
        <w:tabs>
          <w:tab w:val="left" w:pos="480"/>
          <w:tab w:val="right" w:pos="10280"/>
        </w:tabs>
        <w:suppressAutoHyphens/>
        <w:spacing w:before="240" w:after="120" w:line="240" w:lineRule="auto"/>
        <w:ind w:left="720" w:hanging="720"/>
        <w:outlineLvl w:val="2"/>
        <w:rPr>
          <w:rFonts w:ascii="Palatino Light" w:hAnsi="Palatino Light" w:cs="Palatino Light"/>
          <w:sz w:val="19"/>
          <w:szCs w:val="19"/>
        </w:rPr>
      </w:pPr>
    </w:p>
    <w:p w:rsidR="00C21C66" w:rsidRDefault="00C21C66" w:rsidP="00C21C66">
      <w:pPr>
        <w:widowControl/>
        <w:autoSpaceDE/>
        <w:autoSpaceDN/>
        <w:adjustRightInd/>
        <w:spacing w:after="200" w:line="276" w:lineRule="auto"/>
        <w:rPr>
          <w:rFonts w:ascii="Calibri" w:hAnsi="Calibri" w:cs="Optima-Bold"/>
          <w:b/>
          <w:bCs/>
          <w:color w:val="365F91"/>
          <w:sz w:val="32"/>
          <w:szCs w:val="26"/>
        </w:rPr>
      </w:pPr>
      <w:r>
        <w:rPr>
          <w:rFonts w:ascii="Calibri" w:hAnsi="Calibri" w:cs="Optima-Bold"/>
          <w:b/>
          <w:bCs/>
          <w:color w:val="365F91"/>
          <w:sz w:val="32"/>
          <w:szCs w:val="26"/>
        </w:rPr>
        <w:br w:type="page"/>
      </w:r>
    </w:p>
    <w:p w:rsidR="00C21C66" w:rsidRDefault="00C21C66" w:rsidP="00C21C66">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C21C66" w:rsidRDefault="00C21C66" w:rsidP="00C21C66">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competitive environment, your </w:t>
      </w:r>
      <w:r>
        <w:rPr>
          <w:rFonts w:ascii="Calibri" w:eastAsia="Calibri" w:hAnsi="Calibri" w:cs="Palatino-Bold"/>
          <w:b/>
          <w:bCs/>
          <w:smallCaps/>
          <w:color w:val="auto"/>
          <w:sz w:val="22"/>
          <w:szCs w:val="22"/>
        </w:rPr>
        <w:t>key</w:t>
      </w:r>
      <w:r>
        <w:rPr>
          <w:rFonts w:ascii="Calibri" w:eastAsia="Calibri" w:hAnsi="Calibri" w:cs="Times New Roman"/>
          <w:b/>
          <w:color w:val="auto"/>
          <w:sz w:val="22"/>
          <w:szCs w:val="22"/>
        </w:rPr>
        <w:t xml:space="preserve"> </w:t>
      </w:r>
      <w:r>
        <w:rPr>
          <w:rFonts w:ascii="Calibri" w:eastAsia="Calibri" w:hAnsi="Calibri" w:cs="Palatino-Bold"/>
          <w:b/>
          <w:bCs/>
          <w:smallCaps/>
          <w:color w:val="auto"/>
          <w:sz w:val="22"/>
          <w:szCs w:val="22"/>
        </w:rPr>
        <w:t>strategic challenges</w:t>
      </w:r>
      <w:r>
        <w:rPr>
          <w:rFonts w:ascii="Calibri" w:eastAsia="Calibri" w:hAnsi="Calibri" w:cs="Times New Roman"/>
          <w:b/>
          <w:color w:val="auto"/>
          <w:sz w:val="22"/>
          <w:szCs w:val="22"/>
        </w:rPr>
        <w:t xml:space="preserve"> and</w:t>
      </w:r>
      <w:r>
        <w:rPr>
          <w:rFonts w:ascii="Calibri" w:eastAsia="Calibri" w:hAnsi="Calibri" w:cs="Palatino-Bold"/>
          <w:b/>
          <w:bCs/>
          <w:smallCaps/>
          <w:color w:val="auto"/>
          <w:sz w:val="22"/>
          <w:szCs w:val="22"/>
        </w:rPr>
        <w:t xml:space="preserve"> advantages</w:t>
      </w:r>
      <w:r>
        <w:rPr>
          <w:rFonts w:ascii="Calibri" w:eastAsia="Calibri" w:hAnsi="Calibri" w:cs="Times New Roman"/>
          <w:b/>
          <w:color w:val="auto"/>
          <w:sz w:val="22"/>
          <w:szCs w:val="22"/>
        </w:rPr>
        <w:t xml:space="preserve">, and your system for </w:t>
      </w:r>
      <w:r>
        <w:rPr>
          <w:rFonts w:ascii="Calibri" w:eastAsia="Calibri" w:hAnsi="Calibri" w:cs="Palatino-Bold"/>
          <w:b/>
          <w:bCs/>
          <w:smallCaps/>
          <w:color w:val="auto"/>
          <w:sz w:val="22"/>
          <w:szCs w:val="22"/>
        </w:rPr>
        <w:t>performance</w:t>
      </w:r>
      <w:r>
        <w:rPr>
          <w:rFonts w:ascii="Calibri" w:eastAsia="Calibri" w:hAnsi="Calibri" w:cs="Times New Roman"/>
          <w:b/>
          <w:color w:val="auto"/>
          <w:sz w:val="22"/>
          <w:szCs w:val="22"/>
        </w:rPr>
        <w:t xml:space="preserve"> improvement.</w:t>
      </w:r>
    </w:p>
    <w:p w:rsidR="00C21C66" w:rsidRDefault="00C21C66" w:rsidP="00C21C66">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C21C66" w:rsidRDefault="00C21C66" w:rsidP="00C21C66">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relative size and growth in your industry or the markets you serve?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How many and what types of competitors do you have?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industry?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industry? </w:t>
      </w:r>
    </w:p>
    <w:p w:rsidR="00C21C66" w:rsidRDefault="00C21C66" w:rsidP="00C21C66">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What limitations, if any, affect your ability to obtain or use these data?</w:t>
      </w:r>
    </w:p>
    <w:p w:rsidR="00C21C66" w:rsidRDefault="00C21C66" w:rsidP="00C21C66">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C21C66" w:rsidRDefault="00C21C66" w:rsidP="00C21C66">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business,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C21C66" w:rsidRDefault="00C21C66" w:rsidP="00C21C66">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C21C66" w:rsidRDefault="00C21C66" w:rsidP="00C21C66">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C21C66" w:rsidRDefault="00C21C66" w:rsidP="00C21C66">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w:t>
      </w:r>
    </w:p>
    <w:p w:rsidR="00C21C66" w:rsidRDefault="00C21C66" w:rsidP="00C21C66">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70439D" w:rsidRDefault="0070439D" w:rsidP="00C21C66">
      <w:pPr>
        <w:pStyle w:val="Default"/>
        <w:spacing w:after="100" w:line="191" w:lineRule="atLeast"/>
        <w:rPr>
          <w:rFonts w:cstheme="minorBidi"/>
          <w:b/>
          <w:bCs/>
          <w:color w:val="auto"/>
          <w:sz w:val="19"/>
          <w:szCs w:val="19"/>
        </w:rPr>
        <w:sectPr w:rsidR="0070439D" w:rsidSect="00804FB7">
          <w:type w:val="continuous"/>
          <w:pgSz w:w="12240" w:h="15840"/>
          <w:pgMar w:top="1440" w:right="1440" w:bottom="1440" w:left="1440" w:header="720" w:footer="720" w:gutter="0"/>
          <w:cols w:space="720"/>
          <w:docGrid w:linePitch="360"/>
        </w:sectPr>
      </w:pPr>
    </w:p>
    <w:p w:rsidR="00C21C66" w:rsidRPr="0070439D" w:rsidRDefault="00C21C66" w:rsidP="00C21C66">
      <w:pPr>
        <w:pStyle w:val="Default"/>
        <w:spacing w:after="100" w:line="191" w:lineRule="atLeast"/>
        <w:rPr>
          <w:rFonts w:asciiTheme="minorHAnsi" w:hAnsiTheme="minorHAnsi" w:cstheme="minorHAnsi"/>
          <w:color w:val="auto"/>
          <w:sz w:val="22"/>
          <w:szCs w:val="19"/>
        </w:rPr>
      </w:pPr>
      <w:r w:rsidRPr="0070439D">
        <w:rPr>
          <w:rFonts w:asciiTheme="minorHAnsi" w:hAnsiTheme="minorHAnsi" w:cstheme="minorHAnsi"/>
          <w:b/>
          <w:bCs/>
          <w:color w:val="auto"/>
          <w:sz w:val="22"/>
          <w:szCs w:val="19"/>
        </w:rPr>
        <w:t xml:space="preserve">P.2a. </w:t>
      </w:r>
      <w:r w:rsidRPr="0070439D">
        <w:rPr>
          <w:rFonts w:asciiTheme="minorHAnsi" w:hAnsiTheme="minorHAnsi" w:cstheme="minorHAnsi"/>
          <w:i/>
          <w:iCs/>
          <w:color w:val="auto"/>
          <w:sz w:val="22"/>
          <w:szCs w:val="19"/>
        </w:rPr>
        <w:t>Like for-profit businesses, nonprofit organizations are frequently in a highly competitive environment. Nonprofit organizations must often compete with other organizations and alternative sources of similar services to secure financial and volunteer resources, membership, visibility in appropriate communities, and media attention.</w:t>
      </w:r>
    </w:p>
    <w:p w:rsidR="00C21C66" w:rsidRPr="0070439D" w:rsidRDefault="00C21C66" w:rsidP="00C21C66">
      <w:pPr>
        <w:pStyle w:val="Pa29"/>
        <w:spacing w:after="100"/>
        <w:rPr>
          <w:rFonts w:asciiTheme="minorHAnsi" w:hAnsiTheme="minorHAnsi" w:cstheme="minorHAnsi"/>
          <w:sz w:val="22"/>
          <w:szCs w:val="19"/>
        </w:rPr>
      </w:pPr>
      <w:r w:rsidRPr="0070439D">
        <w:rPr>
          <w:rFonts w:asciiTheme="minorHAnsi" w:hAnsiTheme="minorHAnsi" w:cstheme="minorHAnsi"/>
          <w:b/>
          <w:bCs/>
          <w:sz w:val="22"/>
          <w:szCs w:val="19"/>
        </w:rPr>
        <w:t xml:space="preserve">P.2b. </w:t>
      </w:r>
      <w:r w:rsidRPr="0070439D">
        <w:rPr>
          <w:rFonts w:asciiTheme="minorHAnsi" w:hAnsiTheme="minorHAnsi" w:cstheme="minorHAnsi"/>
          <w:sz w:val="22"/>
          <w:szCs w:val="19"/>
        </w:rPr>
        <w:t>Strategic challenges and advantages might relate to technology, products, finances, operations (including data and information security), organizational structure and cul</w:t>
      </w:r>
      <w:r w:rsidRPr="0070439D">
        <w:rPr>
          <w:rFonts w:asciiTheme="minorHAnsi" w:hAnsiTheme="minorHAnsi" w:cstheme="minorHAnsi"/>
          <w:sz w:val="22"/>
          <w:szCs w:val="19"/>
        </w:rPr>
        <w:softHyphen/>
        <w:t xml:space="preserve">ture, your parent organization’s capabilities, customers and markets, brand recognition and reputation, your industry, globalization, climate change, your value chain, and people. Strategic advantages might include differentiators such as price leadership, design services, innovation rate, geographic proximity, accessibility, and warranty and product options. </w:t>
      </w:r>
      <w:r w:rsidRPr="0070439D">
        <w:rPr>
          <w:rFonts w:asciiTheme="minorHAnsi" w:hAnsiTheme="minorHAnsi" w:cstheme="minorHAnsi"/>
          <w:i/>
          <w:iCs/>
          <w:sz w:val="22"/>
          <w:szCs w:val="19"/>
        </w:rPr>
        <w:t>For some nonprofit (including government) organizations, differentiators might also include relative influence with decision makers, ratio of administrative costs to programmatic contributions, reputation for program or service delivery, and wait times for service.</w:t>
      </w:r>
    </w:p>
    <w:p w:rsidR="00C21C66" w:rsidRPr="0070439D" w:rsidRDefault="00C21C66" w:rsidP="00C21C66">
      <w:pPr>
        <w:pStyle w:val="Pa29"/>
        <w:spacing w:after="100"/>
        <w:rPr>
          <w:rFonts w:asciiTheme="minorHAnsi" w:hAnsiTheme="minorHAnsi" w:cstheme="minorHAnsi"/>
          <w:sz w:val="22"/>
          <w:szCs w:val="19"/>
        </w:rPr>
      </w:pPr>
      <w:r w:rsidRPr="0070439D">
        <w:rPr>
          <w:rFonts w:asciiTheme="minorHAnsi" w:hAnsiTheme="minorHAnsi" w:cstheme="minorHAnsi"/>
          <w:b/>
          <w:bCs/>
          <w:sz w:val="22"/>
          <w:szCs w:val="19"/>
        </w:rPr>
        <w:t xml:space="preserve">P.2b. </w:t>
      </w:r>
      <w:r w:rsidRPr="0070439D">
        <w:rPr>
          <w:rFonts w:asciiTheme="minorHAnsi" w:hAnsiTheme="minorHAnsi" w:cstheme="minorHAnsi"/>
          <w:i/>
          <w:iCs/>
          <w:sz w:val="22"/>
          <w:szCs w:val="19"/>
        </w:rPr>
        <w:t>Throughout the Criteria, “business” refers to a nonprofit (or government) organization’s main mission area or enterprise activity.</w:t>
      </w:r>
    </w:p>
    <w:p w:rsidR="00C21C66" w:rsidRPr="0070439D" w:rsidRDefault="00C21C66" w:rsidP="00C21C66">
      <w:pPr>
        <w:pStyle w:val="Pa29"/>
        <w:spacing w:after="100"/>
        <w:rPr>
          <w:rFonts w:asciiTheme="minorHAnsi" w:hAnsiTheme="minorHAnsi" w:cstheme="minorHAnsi"/>
          <w:sz w:val="22"/>
          <w:szCs w:val="19"/>
        </w:rPr>
      </w:pPr>
      <w:r w:rsidRPr="0070439D">
        <w:rPr>
          <w:rFonts w:asciiTheme="minorHAnsi" w:hAnsiTheme="minorHAnsi" w:cstheme="minorHAnsi"/>
          <w:b/>
          <w:bCs/>
          <w:sz w:val="22"/>
          <w:szCs w:val="19"/>
        </w:rPr>
        <w:t xml:space="preserve">P.2c. </w:t>
      </w:r>
      <w:r w:rsidRPr="0070439D">
        <w:rPr>
          <w:rFonts w:asciiTheme="minorHAnsi" w:hAnsiTheme="minorHAnsi" w:cstheme="minorHAnsi"/>
          <w:sz w:val="22"/>
          <w:szCs w:val="19"/>
        </w:rPr>
        <w:t xml:space="preserve">The Baldrige Scoring System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ISO (e.g., the 9000 or 14000 series), using decision science, or employing other improvement tools. </w:t>
      </w:r>
    </w:p>
    <w:p w:rsidR="0070439D" w:rsidRDefault="0070439D" w:rsidP="00C21C66">
      <w:pPr>
        <w:widowControl/>
        <w:autoSpaceDE/>
        <w:adjustRightInd/>
        <w:spacing w:after="120" w:line="240" w:lineRule="auto"/>
        <w:rPr>
          <w:rFonts w:ascii="Palatino Light" w:hAnsi="Palatino Light" w:cs="Palatino Light"/>
          <w:sz w:val="19"/>
          <w:szCs w:val="19"/>
        </w:rPr>
        <w:sectPr w:rsidR="0070439D" w:rsidSect="0070439D">
          <w:type w:val="continuous"/>
          <w:pgSz w:w="12240" w:h="15840"/>
          <w:pgMar w:top="1440" w:right="1440" w:bottom="1440" w:left="1440" w:header="720" w:footer="720" w:gutter="0"/>
          <w:cols w:num="2" w:space="720"/>
          <w:docGrid w:linePitch="360"/>
        </w:sectPr>
      </w:pPr>
    </w:p>
    <w:p w:rsidR="00C21C66" w:rsidRDefault="0070439D" w:rsidP="00C21C66">
      <w:pPr>
        <w:widowControl/>
        <w:autoSpaceDE/>
        <w:adjustRightInd/>
        <w:spacing w:after="120" w:line="240" w:lineRule="auto"/>
        <w:rPr>
          <w:rFonts w:ascii="Palatino Light" w:hAnsi="Palatino Light" w:cs="Palatino Light"/>
          <w:sz w:val="19"/>
          <w:szCs w:val="19"/>
        </w:rPr>
      </w:pPr>
      <w:r>
        <w:rPr>
          <w:rFonts w:cs="Palatino Light"/>
          <w:sz w:val="19"/>
          <w:szCs w:val="19"/>
        </w:rPr>
        <w:t>For additional guidance on this item, see the Criteria Commentary (https://www.nist.gov/baldrige/baldrige-criteria-commentary).</w:t>
      </w:r>
    </w:p>
    <w:p w:rsidR="0070439D" w:rsidRDefault="0070439D" w:rsidP="00C21C66">
      <w:pPr>
        <w:widowControl/>
        <w:autoSpaceDE/>
        <w:adjustRightInd/>
        <w:spacing w:after="120" w:line="240" w:lineRule="auto"/>
        <w:rPr>
          <w:rFonts w:asciiTheme="minorHAnsi" w:hAnsiTheme="minorHAnsi"/>
          <w:b/>
          <w:color w:val="538135" w:themeColor="accent6" w:themeShade="BF"/>
          <w:sz w:val="22"/>
          <w:szCs w:val="22"/>
        </w:rPr>
        <w:sectPr w:rsidR="0070439D" w:rsidSect="0070439D">
          <w:type w:val="continuous"/>
          <w:pgSz w:w="12240" w:h="15840"/>
          <w:pgMar w:top="1440" w:right="1440" w:bottom="1440" w:left="1440" w:header="720" w:footer="720" w:gutter="0"/>
          <w:cols w:num="2" w:space="720"/>
          <w:docGrid w:linePitch="360"/>
        </w:sectPr>
      </w:pPr>
    </w:p>
    <w:p w:rsidR="00C21C66" w:rsidRDefault="00C21C66" w:rsidP="00C21C66">
      <w:pPr>
        <w:widowControl/>
        <w:autoSpaceDE/>
        <w:adjustRightInd/>
        <w:spacing w:after="120" w:line="240" w:lineRule="auto"/>
        <w:rPr>
          <w:b/>
          <w:color w:val="BF8F00" w:themeColor="accent4" w:themeShade="BF"/>
          <w:sz w:val="22"/>
          <w:szCs w:val="22"/>
        </w:rPr>
      </w:pPr>
      <w:r>
        <w:rPr>
          <w:rFonts w:asciiTheme="minorHAnsi" w:hAnsiTheme="minorHAnsi"/>
          <w:b/>
          <w:color w:val="538135" w:themeColor="accent6" w:themeShade="BF"/>
          <w:sz w:val="22"/>
          <w:szCs w:val="22"/>
        </w:rPr>
        <w:t xml:space="preserve">Please visit our website </w:t>
      </w:r>
      <w:hyperlink r:id="rId9" w:history="1">
        <w:r>
          <w:rPr>
            <w:rStyle w:val="Hyperlink"/>
            <w:rFonts w:asciiTheme="minorHAnsi" w:eastAsiaTheme="majorEastAsia" w:hAnsiTheme="minorHAnsi"/>
            <w:sz w:val="22"/>
            <w:szCs w:val="22"/>
          </w:rPr>
          <w:t>www.quality-texas.org</w:t>
        </w:r>
      </w:hyperlink>
      <w:r>
        <w:rPr>
          <w:rFonts w:asciiTheme="minorHAnsi" w:hAnsiTheme="minorHAnsi"/>
          <w:b/>
          <w:color w:val="538135" w:themeColor="accent6" w:themeShade="BF"/>
          <w:sz w:val="22"/>
          <w:szCs w:val="22"/>
        </w:rPr>
        <w:t xml:space="preserve"> applicants tab. </w:t>
      </w:r>
    </w:p>
    <w:p w:rsidR="00C21C66" w:rsidRDefault="00C21C66" w:rsidP="00C21C66">
      <w:pPr>
        <w:widowControl/>
        <w:autoSpaceDE/>
        <w:adjustRightInd/>
        <w:spacing w:after="120" w:line="240" w:lineRule="auto"/>
        <w:rPr>
          <w:b/>
          <w:color w:val="BF8F00" w:themeColor="accent4" w:themeShade="BF"/>
          <w:sz w:val="22"/>
          <w:szCs w:val="22"/>
        </w:rPr>
      </w:pPr>
    </w:p>
    <w:p w:rsidR="002855B1" w:rsidRDefault="002855B1"/>
    <w:sectPr w:rsidR="002855B1" w:rsidSect="00804F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Optima-Bold">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Palatino Light">
    <w:altName w:val="Palatino Linotype"/>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66"/>
    <w:rsid w:val="002058B7"/>
    <w:rsid w:val="002855B1"/>
    <w:rsid w:val="003F5613"/>
    <w:rsid w:val="0070439D"/>
    <w:rsid w:val="00804FB7"/>
    <w:rsid w:val="008E0A86"/>
    <w:rsid w:val="00C21C66"/>
    <w:rsid w:val="00CD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A747A-05EE-4936-B29D-203E4B47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C66"/>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qFormat/>
    <w:rsid w:val="00C21C66"/>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3">
    <w:name w:val="heading 3"/>
    <w:basedOn w:val="Normal"/>
    <w:next w:val="Normal"/>
    <w:link w:val="Heading3Char"/>
    <w:uiPriority w:val="9"/>
    <w:unhideWhenUsed/>
    <w:qFormat/>
    <w:rsid w:val="00C21C6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C66"/>
    <w:rPr>
      <w:rFonts w:ascii="Arial" w:eastAsiaTheme="majorEastAsia" w:hAnsi="Arial" w:cstheme="majorBidi"/>
      <w:b/>
      <w:bCs/>
      <w:kern w:val="32"/>
      <w:sz w:val="32"/>
      <w:szCs w:val="32"/>
    </w:rPr>
  </w:style>
  <w:style w:type="character" w:customStyle="1" w:styleId="Heading3Char">
    <w:name w:val="Heading 3 Char"/>
    <w:basedOn w:val="DefaultParagraphFont"/>
    <w:link w:val="Heading3"/>
    <w:uiPriority w:val="9"/>
    <w:rsid w:val="00C21C66"/>
    <w:rPr>
      <w:rFonts w:asciiTheme="majorHAnsi" w:eastAsiaTheme="majorEastAsia" w:hAnsiTheme="majorHAnsi" w:cstheme="majorBidi"/>
      <w:b/>
      <w:bCs/>
      <w:color w:val="4472C4" w:themeColor="accent1"/>
      <w:sz w:val="24"/>
      <w:szCs w:val="24"/>
    </w:rPr>
  </w:style>
  <w:style w:type="character" w:styleId="Hyperlink">
    <w:name w:val="Hyperlink"/>
    <w:basedOn w:val="DefaultParagraphFont"/>
    <w:uiPriority w:val="99"/>
    <w:unhideWhenUsed/>
    <w:rsid w:val="00C21C66"/>
    <w:rPr>
      <w:rFonts w:ascii="Times New Roman" w:hAnsi="Times New Roman" w:cs="Times New Roman" w:hint="default"/>
      <w:color w:val="008760"/>
      <w:w w:val="100"/>
      <w:u w:val="thick" w:color="008760"/>
    </w:rPr>
  </w:style>
  <w:style w:type="paragraph" w:styleId="ListParagraph">
    <w:name w:val="List Paragraph"/>
    <w:basedOn w:val="Normal"/>
    <w:uiPriority w:val="34"/>
    <w:qFormat/>
    <w:rsid w:val="00C21C66"/>
    <w:pPr>
      <w:spacing w:after="200" w:line="276" w:lineRule="auto"/>
      <w:ind w:left="720"/>
    </w:pPr>
    <w:rPr>
      <w:rFonts w:ascii="Calibri" w:hAnsi="Calibri" w:cs="Calibri"/>
      <w:sz w:val="22"/>
      <w:szCs w:val="22"/>
    </w:rPr>
  </w:style>
  <w:style w:type="paragraph" w:customStyle="1" w:styleId="Pa29">
    <w:name w:val="Pa29"/>
    <w:basedOn w:val="Normal"/>
    <w:next w:val="Normal"/>
    <w:uiPriority w:val="99"/>
    <w:rsid w:val="00C21C66"/>
    <w:pPr>
      <w:widowControl/>
      <w:spacing w:line="191" w:lineRule="atLeast"/>
    </w:pPr>
    <w:rPr>
      <w:rFonts w:ascii="Optima" w:eastAsiaTheme="minorHAnsi" w:hAnsi="Optima" w:cstheme="minorBidi"/>
      <w:color w:val="auto"/>
    </w:rPr>
  </w:style>
  <w:style w:type="paragraph" w:customStyle="1" w:styleId="Default">
    <w:name w:val="Default"/>
    <w:rsid w:val="00C21C66"/>
    <w:pPr>
      <w:autoSpaceDE w:val="0"/>
      <w:autoSpaceDN w:val="0"/>
      <w:adjustRightInd w:val="0"/>
      <w:spacing w:after="0" w:line="240" w:lineRule="auto"/>
    </w:pPr>
    <w:rPr>
      <w:rFonts w:ascii="Optima" w:hAnsi="Optima" w:cs="Opt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texas.org" TargetMode="External"/><Relationship Id="rId3" Type="http://schemas.openxmlformats.org/officeDocument/2006/relationships/settings" Target="settings.xml"/><Relationship Id="rId7" Type="http://schemas.openxmlformats.org/officeDocument/2006/relationships/hyperlink" Target="http://www.quality-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ac@quality-texa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ality-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McGuire</dc:creator>
  <cp:keywords/>
  <dc:description/>
  <cp:lastModifiedBy>Mac McGuire</cp:lastModifiedBy>
  <cp:revision>2</cp:revision>
  <dcterms:created xsi:type="dcterms:W3CDTF">2017-08-01T17:18:00Z</dcterms:created>
  <dcterms:modified xsi:type="dcterms:W3CDTF">2017-08-01T17:18:00Z</dcterms:modified>
</cp:coreProperties>
</file>